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D6458" w14:textId="77777777" w:rsidR="00DC39F1" w:rsidRDefault="00DC39F1" w:rsidP="00DC39F1">
      <w:pPr>
        <w:pStyle w:val="1"/>
        <w:jc w:val="center"/>
      </w:pPr>
      <w:r>
        <w:rPr>
          <w:rFonts w:hint="eastAsia"/>
        </w:rPr>
        <w:t>北京邮电大学会议费管理</w:t>
      </w:r>
      <w:r w:rsidRPr="00367FD9">
        <w:rPr>
          <w:rFonts w:hint="eastAsia"/>
        </w:rPr>
        <w:t>办法</w:t>
      </w:r>
    </w:p>
    <w:p w14:paraId="4A6F61A1" w14:textId="77777777" w:rsidR="00DC39F1" w:rsidRPr="00716331" w:rsidRDefault="00DC39F1" w:rsidP="00DC39F1"/>
    <w:p w14:paraId="2E013947" w14:textId="77777777" w:rsidR="00DC39F1" w:rsidRPr="004910A9" w:rsidRDefault="00DC39F1" w:rsidP="00DC39F1">
      <w:pPr>
        <w:pStyle w:val="a4"/>
        <w:numPr>
          <w:ilvl w:val="0"/>
          <w:numId w:val="1"/>
        </w:numPr>
        <w:snapToGrid w:val="0"/>
        <w:spacing w:line="360" w:lineRule="auto"/>
        <w:ind w:left="0" w:firstLineChars="0" w:firstLine="555"/>
        <w:rPr>
          <w:rFonts w:ascii="仿宋_GB2312" w:eastAsia="仿宋_GB2312" w:hAnsi="仿宋" w:cs="仿宋"/>
          <w:sz w:val="32"/>
          <w:szCs w:val="32"/>
        </w:rPr>
      </w:pPr>
      <w:r w:rsidRPr="0056176D">
        <w:rPr>
          <w:rFonts w:ascii="仿宋_GB2312" w:eastAsia="仿宋_GB2312" w:hAnsi="宋体" w:cs="仿宋" w:hint="eastAsia"/>
          <w:sz w:val="32"/>
          <w:szCs w:val="32"/>
        </w:rPr>
        <w:t>为进一步加强和规范学校会议费管理，</w:t>
      </w:r>
      <w:r w:rsidRPr="0056176D">
        <w:rPr>
          <w:rFonts w:ascii="仿宋_GB2312" w:eastAsia="仿宋_GB2312" w:hAnsi="仿宋" w:cs="仿宋" w:hint="eastAsia"/>
          <w:sz w:val="32"/>
          <w:szCs w:val="32"/>
        </w:rPr>
        <w:t>根据</w:t>
      </w:r>
      <w:bookmarkStart w:id="0" w:name="OLE_LINK1"/>
      <w:bookmarkStart w:id="1" w:name="OLE_LINK2"/>
      <w:r w:rsidRPr="004910A9">
        <w:rPr>
          <w:rFonts w:ascii="仿宋_GB2312" w:eastAsia="仿宋_GB2312" w:hAnsi="仿宋" w:cs="仿宋" w:hint="eastAsia"/>
          <w:sz w:val="32"/>
          <w:szCs w:val="32"/>
        </w:rPr>
        <w:t>《</w:t>
      </w:r>
      <w:r>
        <w:rPr>
          <w:rFonts w:ascii="仿宋_GB2312" w:eastAsia="仿宋_GB2312" w:cs="仿宋" w:hint="eastAsia"/>
          <w:sz w:val="32"/>
          <w:szCs w:val="32"/>
        </w:rPr>
        <w:t xml:space="preserve">中共中央办公厅 </w:t>
      </w:r>
      <w:r w:rsidRPr="004910A9">
        <w:rPr>
          <w:rFonts w:ascii="仿宋_GB2312" w:eastAsia="仿宋_GB2312" w:cs="仿宋" w:hint="eastAsia"/>
          <w:sz w:val="32"/>
          <w:szCs w:val="32"/>
        </w:rPr>
        <w:t>国务院办公厅关于进一步完善中央财政科研项目资金管理等政策的若干意见》</w:t>
      </w:r>
      <w:bookmarkEnd w:id="0"/>
      <w:bookmarkEnd w:id="1"/>
      <w:r w:rsidRPr="00822FB3">
        <w:rPr>
          <w:rFonts w:ascii="仿宋_GB2312" w:eastAsia="仿宋_GB2312" w:cs="仿宋" w:hint="eastAsia"/>
          <w:sz w:val="32"/>
          <w:szCs w:val="32"/>
        </w:rPr>
        <w:t>（中办发[2016]50号）</w:t>
      </w:r>
      <w:r>
        <w:rPr>
          <w:rFonts w:ascii="仿宋_GB2312" w:eastAsia="仿宋_GB2312" w:cs="仿宋" w:hint="eastAsia"/>
          <w:sz w:val="32"/>
          <w:szCs w:val="32"/>
        </w:rPr>
        <w:t>等文件</w:t>
      </w:r>
      <w:r w:rsidRPr="004910A9">
        <w:rPr>
          <w:rFonts w:ascii="仿宋_GB2312" w:eastAsia="仿宋_GB2312" w:hAnsi="仿宋" w:cs="仿宋" w:hint="eastAsia"/>
          <w:sz w:val="32"/>
          <w:szCs w:val="32"/>
        </w:rPr>
        <w:t>，</w:t>
      </w:r>
      <w:r w:rsidRPr="004910A9">
        <w:rPr>
          <w:rFonts w:ascii="仿宋_GB2312" w:eastAsia="仿宋_GB2312" w:hAnsi="宋体" w:cs="仿宋" w:hint="eastAsia"/>
          <w:sz w:val="32"/>
          <w:szCs w:val="32"/>
        </w:rPr>
        <w:t>结合学校实际，制定本办法。</w:t>
      </w:r>
    </w:p>
    <w:p w14:paraId="7FFF1FD2" w14:textId="77777777" w:rsidR="00DC39F1" w:rsidRPr="00367FD9" w:rsidRDefault="00DC39F1" w:rsidP="00DC39F1">
      <w:pPr>
        <w:pStyle w:val="a4"/>
        <w:numPr>
          <w:ilvl w:val="0"/>
          <w:numId w:val="1"/>
        </w:numPr>
        <w:snapToGrid w:val="0"/>
        <w:spacing w:line="360" w:lineRule="auto"/>
        <w:ind w:left="0" w:firstLineChars="0" w:firstLine="555"/>
        <w:rPr>
          <w:rFonts w:ascii="仿宋_GB2312" w:eastAsia="仿宋_GB2312" w:hAnsi="宋体" w:cs="仿宋"/>
          <w:sz w:val="32"/>
          <w:szCs w:val="32"/>
        </w:rPr>
      </w:pPr>
      <w:r w:rsidRPr="00367FD9">
        <w:rPr>
          <w:rFonts w:ascii="仿宋_GB2312" w:eastAsia="仿宋_GB2312" w:hAnsi="宋体" w:cs="仿宋" w:hint="eastAsia"/>
          <w:sz w:val="32"/>
          <w:szCs w:val="32"/>
        </w:rPr>
        <w:t>本办法适用于学校举办（含主办、承办）的各类会议、论坛，包括国内业务会议、国内管理会议、在华举办国际会议。</w:t>
      </w:r>
    </w:p>
    <w:p w14:paraId="7974C2FB" w14:textId="77777777" w:rsidR="00DC39F1" w:rsidRPr="00367FD9" w:rsidRDefault="00DC39F1" w:rsidP="00DC39F1">
      <w:pPr>
        <w:snapToGrid w:val="0"/>
        <w:spacing w:line="360" w:lineRule="auto"/>
        <w:ind w:firstLine="555"/>
        <w:rPr>
          <w:rFonts w:ascii="仿宋_GB2312" w:eastAsia="仿宋_GB2312" w:hAnsi="宋体" w:cs="仿宋"/>
          <w:sz w:val="32"/>
          <w:szCs w:val="32"/>
        </w:rPr>
      </w:pPr>
      <w:r w:rsidRPr="00367FD9">
        <w:rPr>
          <w:rFonts w:ascii="仿宋_GB2312" w:eastAsia="仿宋_GB2312" w:hAnsi="宋体" w:cs="仿宋" w:hint="eastAsia"/>
          <w:sz w:val="32"/>
          <w:szCs w:val="32"/>
        </w:rPr>
        <w:t>国内业务会议是指因教学、科研业务需要举办的业务性会议，包括学术会议、学术论坛、研讨会、评审会、座谈会、答辩会等。</w:t>
      </w:r>
    </w:p>
    <w:p w14:paraId="0F691597" w14:textId="77777777" w:rsidR="00DC39F1" w:rsidRPr="00367FD9" w:rsidRDefault="00DC39F1" w:rsidP="00DC39F1">
      <w:pPr>
        <w:snapToGrid w:val="0"/>
        <w:spacing w:line="360" w:lineRule="auto"/>
        <w:ind w:firstLine="555"/>
        <w:rPr>
          <w:rFonts w:ascii="仿宋_GB2312" w:eastAsia="仿宋_GB2312" w:hAnsi="宋体" w:cs="仿宋"/>
          <w:sz w:val="32"/>
          <w:szCs w:val="32"/>
        </w:rPr>
      </w:pPr>
      <w:r w:rsidRPr="00367FD9">
        <w:rPr>
          <w:rFonts w:ascii="仿宋_GB2312" w:eastAsia="仿宋_GB2312" w:hAnsi="宋体" w:cs="仿宋" w:hint="eastAsia"/>
          <w:sz w:val="32"/>
          <w:szCs w:val="32"/>
        </w:rPr>
        <w:t>国内管理会议是指除国内业务会议之外的其他国内会议。</w:t>
      </w:r>
    </w:p>
    <w:p w14:paraId="4D6E05D1" w14:textId="77777777" w:rsidR="00DC39F1" w:rsidRPr="0056176D" w:rsidRDefault="00DC39F1" w:rsidP="00DC39F1">
      <w:pPr>
        <w:snapToGrid w:val="0"/>
        <w:spacing w:line="360" w:lineRule="auto"/>
        <w:ind w:firstLine="555"/>
        <w:rPr>
          <w:rFonts w:ascii="仿宋_GB2312" w:eastAsia="仿宋_GB2312" w:hAnsi="仿宋" w:cs="仿宋"/>
          <w:sz w:val="32"/>
          <w:szCs w:val="32"/>
        </w:rPr>
      </w:pPr>
      <w:r w:rsidRPr="00367FD9">
        <w:rPr>
          <w:rFonts w:ascii="仿宋_GB2312" w:eastAsia="仿宋_GB2312" w:hAnsi="宋体" w:cs="仿宋" w:hint="eastAsia"/>
          <w:sz w:val="32"/>
          <w:szCs w:val="32"/>
        </w:rPr>
        <w:t>在华举办国际会议是指报经教育部外事部门批准的、在我国境内举</w:t>
      </w:r>
      <w:r w:rsidRPr="0056176D">
        <w:rPr>
          <w:rFonts w:ascii="仿宋_GB2312" w:eastAsia="仿宋_GB2312" w:hAnsi="仿宋" w:cs="仿宋" w:hint="eastAsia"/>
          <w:sz w:val="32"/>
          <w:szCs w:val="32"/>
        </w:rPr>
        <w:t>办的国际会议。</w:t>
      </w:r>
    </w:p>
    <w:p w14:paraId="10E1F31A" w14:textId="77777777" w:rsidR="00DC39F1" w:rsidRPr="00D46D2B" w:rsidRDefault="00DD68BA" w:rsidP="00D46D2B">
      <w:pPr>
        <w:pStyle w:val="a4"/>
        <w:numPr>
          <w:ilvl w:val="0"/>
          <w:numId w:val="1"/>
        </w:numPr>
        <w:snapToGrid w:val="0"/>
        <w:spacing w:line="360" w:lineRule="auto"/>
        <w:ind w:left="0" w:firstLineChars="0" w:firstLine="555"/>
        <w:rPr>
          <w:rFonts w:ascii="仿宋_GB2312" w:eastAsia="仿宋_GB2312" w:hAnsi="仿宋" w:cs="仿宋"/>
          <w:sz w:val="32"/>
          <w:szCs w:val="32"/>
        </w:rPr>
      </w:pPr>
      <w:r w:rsidRPr="00D46D2B">
        <w:rPr>
          <w:rFonts w:ascii="仿宋_GB2312" w:eastAsia="仿宋_GB2312" w:hAnsi="仿宋" w:cs="仿宋" w:hint="eastAsia"/>
          <w:sz w:val="32"/>
          <w:szCs w:val="32"/>
        </w:rPr>
        <w:t>会议举办者是会议费的直接负责人，对会议费使用的合规性、合理性、真实性和相关性承担直接责任。会议举办者应了解并遵守有关财经法律法规和会议费管理制度，依法、据实报销会议费。各二级单位对使用本单位经费举办的会议承担审批和监管责任。各</w:t>
      </w:r>
      <w:r w:rsidR="00D46D2B">
        <w:rPr>
          <w:rFonts w:ascii="仿宋_GB2312" w:eastAsia="仿宋_GB2312" w:hAnsi="仿宋" w:cs="仿宋" w:hint="eastAsia"/>
          <w:sz w:val="32"/>
          <w:szCs w:val="32"/>
        </w:rPr>
        <w:t>二级</w:t>
      </w:r>
      <w:r w:rsidRPr="00D46D2B">
        <w:rPr>
          <w:rFonts w:ascii="仿宋_GB2312" w:eastAsia="仿宋_GB2312" w:hAnsi="仿宋" w:cs="仿宋" w:hint="eastAsia"/>
          <w:sz w:val="32"/>
          <w:szCs w:val="32"/>
        </w:rPr>
        <w:t>单位应加强本单位会议费管理制度建设，加强政策宣传，督促办会人员合理、合规</w:t>
      </w:r>
      <w:r w:rsidRPr="00D46D2B">
        <w:rPr>
          <w:rFonts w:ascii="仿宋_GB2312" w:eastAsia="仿宋_GB2312" w:hAnsi="仿宋" w:cs="仿宋" w:hint="eastAsia"/>
          <w:sz w:val="32"/>
          <w:szCs w:val="32"/>
        </w:rPr>
        <w:lastRenderedPageBreak/>
        <w:t>报销会议费</w:t>
      </w:r>
      <w:r w:rsidR="00DC39F1" w:rsidRPr="00D46D2B">
        <w:rPr>
          <w:rFonts w:ascii="仿宋_GB2312" w:eastAsia="仿宋_GB2312" w:hAnsi="仿宋" w:cs="仿宋" w:hint="eastAsia"/>
          <w:sz w:val="32"/>
          <w:szCs w:val="32"/>
        </w:rPr>
        <w:t>。</w:t>
      </w:r>
    </w:p>
    <w:p w14:paraId="4737ED8F" w14:textId="77777777" w:rsidR="00DC39F1" w:rsidRPr="00367FD9" w:rsidRDefault="00DC39F1" w:rsidP="00DC39F1">
      <w:pPr>
        <w:pStyle w:val="a4"/>
        <w:numPr>
          <w:ilvl w:val="0"/>
          <w:numId w:val="1"/>
        </w:numPr>
        <w:snapToGrid w:val="0"/>
        <w:spacing w:line="360" w:lineRule="auto"/>
        <w:ind w:left="0" w:firstLineChars="0" w:firstLine="555"/>
        <w:rPr>
          <w:rFonts w:ascii="仿宋_GB2312" w:eastAsia="仿宋_GB2312" w:hAnsi="宋体" w:cs="仿宋"/>
          <w:sz w:val="32"/>
          <w:szCs w:val="32"/>
        </w:rPr>
      </w:pPr>
      <w:r>
        <w:rPr>
          <w:rFonts w:ascii="仿宋_GB2312" w:eastAsia="仿宋_GB2312" w:hAnsi="宋体" w:cs="仿宋" w:hint="eastAsia"/>
          <w:sz w:val="32"/>
          <w:szCs w:val="32"/>
        </w:rPr>
        <w:t xml:space="preserve"> </w:t>
      </w:r>
      <w:r w:rsidRPr="00367FD9">
        <w:rPr>
          <w:rFonts w:ascii="仿宋_GB2312" w:eastAsia="仿宋_GB2312" w:hAnsi="宋体" w:cs="仿宋" w:hint="eastAsia"/>
          <w:sz w:val="32"/>
          <w:szCs w:val="32"/>
        </w:rPr>
        <w:t>举办会议应预先编制</w:t>
      </w:r>
      <w:r>
        <w:rPr>
          <w:rFonts w:ascii="仿宋_GB2312" w:eastAsia="仿宋_GB2312" w:hAnsi="宋体" w:cs="仿宋" w:hint="eastAsia"/>
          <w:sz w:val="32"/>
          <w:szCs w:val="32"/>
        </w:rPr>
        <w:t>会议预算</w:t>
      </w:r>
      <w:r w:rsidRPr="00367FD9">
        <w:rPr>
          <w:rFonts w:ascii="仿宋_GB2312" w:eastAsia="仿宋_GB2312" w:hAnsi="宋体" w:cs="仿宋" w:hint="eastAsia"/>
          <w:sz w:val="32"/>
          <w:szCs w:val="32"/>
        </w:rPr>
        <w:t>。会议费预算需列明会议的名称、会议类别、主要内容、时间、地点、代表人数、工作人员数、所需经费及列支渠道等。</w:t>
      </w:r>
    </w:p>
    <w:p w14:paraId="47A15ADE" w14:textId="77777777" w:rsidR="00DC39F1" w:rsidRDefault="00DC39F1" w:rsidP="00DC39F1">
      <w:pPr>
        <w:pStyle w:val="a4"/>
        <w:numPr>
          <w:ilvl w:val="0"/>
          <w:numId w:val="1"/>
        </w:numPr>
        <w:snapToGrid w:val="0"/>
        <w:spacing w:line="360" w:lineRule="auto"/>
        <w:ind w:left="0" w:firstLineChars="0" w:firstLine="555"/>
        <w:rPr>
          <w:rFonts w:ascii="仿宋_GB2312" w:eastAsia="仿宋_GB2312" w:hAnsi="宋体" w:cs="仿宋"/>
          <w:sz w:val="32"/>
          <w:szCs w:val="32"/>
        </w:rPr>
      </w:pPr>
      <w:r w:rsidRPr="00367FD9">
        <w:rPr>
          <w:rFonts w:ascii="仿宋_GB2312" w:eastAsia="仿宋_GB2312" w:hAnsi="宋体" w:cs="仿宋" w:hint="eastAsia"/>
          <w:sz w:val="32"/>
          <w:szCs w:val="32"/>
        </w:rPr>
        <w:t>严格控制会议</w:t>
      </w:r>
      <w:r w:rsidRPr="006A6D4E">
        <w:rPr>
          <w:rFonts w:ascii="仿宋_GB2312" w:eastAsia="仿宋_GB2312" w:hAnsi="仿宋" w:cs="仿宋" w:hint="eastAsia"/>
          <w:sz w:val="32"/>
          <w:szCs w:val="32"/>
        </w:rPr>
        <w:t>数量、会期、规模，注重会议质量，提高会议效率。会议</w:t>
      </w:r>
      <w:r w:rsidR="00D46D2B">
        <w:rPr>
          <w:rFonts w:ascii="仿宋_GB2312" w:eastAsia="仿宋_GB2312" w:hAnsi="仿宋" w:cs="仿宋" w:hint="eastAsia"/>
          <w:sz w:val="32"/>
          <w:szCs w:val="32"/>
        </w:rPr>
        <w:t>举办</w:t>
      </w:r>
      <w:r w:rsidRPr="006A6D4E">
        <w:rPr>
          <w:rFonts w:ascii="仿宋_GB2312" w:eastAsia="仿宋_GB2312" w:hAnsi="仿宋" w:cs="仿宋" w:hint="eastAsia"/>
          <w:sz w:val="32"/>
          <w:szCs w:val="32"/>
        </w:rPr>
        <w:t>者应当根据会议性质、主要内容确定会议人数和天数，严格限定工作人员数量。</w:t>
      </w:r>
      <w:r>
        <w:rPr>
          <w:rFonts w:ascii="仿宋_GB2312" w:eastAsia="仿宋_GB2312" w:hAnsi="仿宋" w:cs="仿宋"/>
          <w:sz w:val="32"/>
          <w:szCs w:val="32"/>
        </w:rPr>
        <w:t>会议会期</w:t>
      </w:r>
      <w:r>
        <w:rPr>
          <w:rFonts w:ascii="仿宋_GB2312" w:eastAsia="仿宋_GB2312" w:hAnsi="仿宋" w:cs="仿宋" w:hint="eastAsia"/>
          <w:sz w:val="32"/>
          <w:szCs w:val="32"/>
        </w:rPr>
        <w:t>原则上</w:t>
      </w:r>
      <w:r w:rsidRPr="006A6D4E">
        <w:rPr>
          <w:rFonts w:ascii="仿宋_GB2312" w:eastAsia="仿宋_GB2312" w:hAnsi="仿宋" w:cs="仿宋"/>
          <w:sz w:val="32"/>
          <w:szCs w:val="32"/>
        </w:rPr>
        <w:t>不得超过2天，会议报到和离开时间</w:t>
      </w:r>
      <w:r w:rsidRPr="006A6D4E">
        <w:rPr>
          <w:rFonts w:ascii="仿宋_GB2312" w:eastAsia="仿宋_GB2312" w:hAnsi="仿宋" w:cs="仿宋" w:hint="eastAsia"/>
          <w:sz w:val="32"/>
          <w:szCs w:val="32"/>
        </w:rPr>
        <w:t>不超过1天，会议人数一般不超过50</w:t>
      </w:r>
      <w:r w:rsidR="00115283">
        <w:rPr>
          <w:rFonts w:ascii="仿宋_GB2312" w:eastAsia="仿宋_GB2312" w:hAnsi="仿宋" w:cs="仿宋" w:hint="eastAsia"/>
          <w:sz w:val="32"/>
          <w:szCs w:val="32"/>
        </w:rPr>
        <w:t>人。</w:t>
      </w:r>
    </w:p>
    <w:p w14:paraId="2821091B" w14:textId="2F87D54B" w:rsidR="00150ADE" w:rsidRDefault="00DC39F1" w:rsidP="00DC39F1">
      <w:pPr>
        <w:pStyle w:val="a4"/>
        <w:numPr>
          <w:ilvl w:val="0"/>
          <w:numId w:val="1"/>
        </w:numPr>
        <w:snapToGrid w:val="0"/>
        <w:spacing w:line="360" w:lineRule="auto"/>
        <w:ind w:left="0" w:firstLineChars="0" w:firstLine="555"/>
        <w:rPr>
          <w:rFonts w:ascii="仿宋_GB2312" w:eastAsia="仿宋_GB2312" w:hAnsi="宋体" w:cs="仿宋"/>
          <w:sz w:val="32"/>
          <w:szCs w:val="32"/>
        </w:rPr>
      </w:pPr>
      <w:r w:rsidRPr="00955546">
        <w:rPr>
          <w:rFonts w:ascii="仿宋_GB2312" w:eastAsia="仿宋_GB2312" w:hAnsi="宋体" w:cs="仿宋" w:hint="eastAsia"/>
          <w:sz w:val="32"/>
          <w:szCs w:val="32"/>
        </w:rPr>
        <w:t>严格会议审批程序</w:t>
      </w:r>
      <w:bookmarkStart w:id="2" w:name="OLE_LINK11"/>
      <w:r w:rsidR="00520C48">
        <w:rPr>
          <w:rFonts w:ascii="仿宋_GB2312" w:eastAsia="仿宋_GB2312" w:hAnsi="宋体" w:cs="仿宋" w:hint="eastAsia"/>
          <w:sz w:val="32"/>
          <w:szCs w:val="32"/>
        </w:rPr>
        <w:t>。</w:t>
      </w:r>
    </w:p>
    <w:p w14:paraId="094425E8" w14:textId="090E7A43" w:rsidR="00150ADE" w:rsidRPr="00BC15A7" w:rsidRDefault="00716331" w:rsidP="00BC15A7">
      <w:pPr>
        <w:snapToGrid w:val="0"/>
        <w:spacing w:line="360" w:lineRule="auto"/>
        <w:ind w:firstLineChars="200" w:firstLine="640"/>
        <w:rPr>
          <w:rFonts w:ascii="仿宋_GB2312" w:eastAsia="仿宋_GB2312" w:hAnsi="宋体" w:cs="仿宋"/>
          <w:sz w:val="32"/>
          <w:szCs w:val="32"/>
        </w:rPr>
      </w:pPr>
      <w:r w:rsidRPr="00BC15A7">
        <w:rPr>
          <w:rFonts w:ascii="仿宋_GB2312" w:eastAsia="仿宋_GB2312" w:hAnsi="宋体" w:cs="仿宋" w:hint="eastAsia"/>
          <w:sz w:val="32"/>
          <w:szCs w:val="32"/>
        </w:rPr>
        <w:t>使用科研经费举办的国内业务会议，由项目负责人</w:t>
      </w:r>
      <w:r w:rsidR="00150ADE">
        <w:rPr>
          <w:rFonts w:ascii="仿宋_GB2312" w:eastAsia="仿宋_GB2312" w:hAnsi="宋体" w:cs="仿宋" w:hint="eastAsia"/>
          <w:sz w:val="32"/>
          <w:szCs w:val="32"/>
        </w:rPr>
        <w:t>审核后执行</w:t>
      </w:r>
      <w:r w:rsidRPr="00BC15A7">
        <w:rPr>
          <w:rFonts w:ascii="仿宋_GB2312" w:eastAsia="仿宋_GB2312" w:hAnsi="宋体" w:cs="仿宋" w:hint="eastAsia"/>
          <w:sz w:val="32"/>
          <w:szCs w:val="32"/>
        </w:rPr>
        <w:t>，</w:t>
      </w:r>
      <w:r w:rsidR="00150ADE" w:rsidRPr="00BC15A7">
        <w:rPr>
          <w:rFonts w:ascii="仿宋_GB2312" w:eastAsia="仿宋_GB2312" w:hAnsi="宋体" w:cs="仿宋" w:hint="eastAsia"/>
          <w:sz w:val="32"/>
          <w:szCs w:val="32"/>
        </w:rPr>
        <w:t>但会期在</w:t>
      </w:r>
      <w:r w:rsidR="00150ADE" w:rsidRPr="00BC15A7">
        <w:rPr>
          <w:rFonts w:ascii="仿宋_GB2312" w:eastAsia="仿宋_GB2312" w:hAnsi="宋体" w:cs="仿宋"/>
          <w:sz w:val="32"/>
          <w:szCs w:val="32"/>
        </w:rPr>
        <w:t>2</w:t>
      </w:r>
      <w:r w:rsidR="00150ADE" w:rsidRPr="00BC15A7">
        <w:rPr>
          <w:rFonts w:ascii="仿宋_GB2312" w:eastAsia="仿宋_GB2312" w:hAnsi="宋体" w:cs="仿宋" w:hint="eastAsia"/>
          <w:sz w:val="32"/>
          <w:szCs w:val="32"/>
        </w:rPr>
        <w:t>天以上或参会人数超过</w:t>
      </w:r>
      <w:r w:rsidR="00150ADE" w:rsidRPr="00BC15A7">
        <w:rPr>
          <w:rFonts w:ascii="仿宋_GB2312" w:eastAsia="仿宋_GB2312" w:hAnsi="宋体" w:cs="仿宋"/>
          <w:sz w:val="32"/>
          <w:szCs w:val="32"/>
        </w:rPr>
        <w:t>50</w:t>
      </w:r>
      <w:r w:rsidR="00150ADE" w:rsidRPr="00BC15A7">
        <w:rPr>
          <w:rFonts w:ascii="仿宋_GB2312" w:eastAsia="仿宋_GB2312" w:hAnsi="宋体" w:cs="仿宋" w:hint="eastAsia"/>
          <w:sz w:val="32"/>
          <w:szCs w:val="32"/>
        </w:rPr>
        <w:t>人的，还须经</w:t>
      </w:r>
      <w:r w:rsidR="00150ADE">
        <w:rPr>
          <w:rFonts w:ascii="仿宋_GB2312" w:eastAsia="仿宋_GB2312" w:hAnsi="宋体" w:cs="仿宋" w:hint="eastAsia"/>
          <w:sz w:val="32"/>
          <w:szCs w:val="32"/>
        </w:rPr>
        <w:t>科研</w:t>
      </w:r>
      <w:r w:rsidR="00150ADE" w:rsidRPr="00BC15A7">
        <w:rPr>
          <w:rFonts w:ascii="仿宋_GB2312" w:eastAsia="仿宋_GB2312" w:hAnsi="宋体" w:cs="仿宋" w:hint="eastAsia"/>
          <w:sz w:val="32"/>
          <w:szCs w:val="32"/>
        </w:rPr>
        <w:t>项目</w:t>
      </w:r>
      <w:r w:rsidR="00150ADE">
        <w:rPr>
          <w:rFonts w:ascii="仿宋_GB2312" w:eastAsia="仿宋_GB2312" w:hAnsi="宋体" w:cs="仿宋" w:hint="eastAsia"/>
          <w:sz w:val="32"/>
          <w:szCs w:val="32"/>
        </w:rPr>
        <w:t>管理部门</w:t>
      </w:r>
      <w:r w:rsidR="00150ADE" w:rsidRPr="00BC15A7">
        <w:rPr>
          <w:rFonts w:ascii="仿宋_GB2312" w:eastAsia="仿宋_GB2312" w:hAnsi="宋体" w:cs="仿宋" w:hint="eastAsia"/>
          <w:sz w:val="32"/>
          <w:szCs w:val="32"/>
        </w:rPr>
        <w:t>审批</w:t>
      </w:r>
      <w:r w:rsidR="00520C48">
        <w:rPr>
          <w:rFonts w:ascii="仿宋_GB2312" w:eastAsia="仿宋_GB2312" w:hAnsi="宋体" w:cs="仿宋" w:hint="eastAsia"/>
          <w:sz w:val="32"/>
          <w:szCs w:val="32"/>
        </w:rPr>
        <w:t>；</w:t>
      </w:r>
    </w:p>
    <w:p w14:paraId="611AE70F" w14:textId="0B7511EB" w:rsidR="000825AB" w:rsidRPr="00BC15A7" w:rsidRDefault="00716331" w:rsidP="00BC15A7">
      <w:pPr>
        <w:snapToGrid w:val="0"/>
        <w:spacing w:line="360" w:lineRule="auto"/>
        <w:ind w:firstLineChars="200" w:firstLine="640"/>
        <w:rPr>
          <w:rFonts w:ascii="仿宋_GB2312" w:eastAsia="仿宋_GB2312" w:hAnsi="宋体" w:cs="仿宋"/>
          <w:sz w:val="32"/>
          <w:szCs w:val="32"/>
        </w:rPr>
      </w:pPr>
      <w:r w:rsidRPr="00BC15A7">
        <w:rPr>
          <w:rFonts w:ascii="仿宋_GB2312" w:eastAsia="仿宋_GB2312" w:hAnsi="宋体" w:cs="仿宋" w:hint="eastAsia"/>
          <w:sz w:val="32"/>
          <w:szCs w:val="32"/>
        </w:rPr>
        <w:t>其他国内业务会议由各二级单位审批，但会期在</w:t>
      </w:r>
      <w:r w:rsidRPr="00BC15A7">
        <w:rPr>
          <w:rFonts w:ascii="仿宋_GB2312" w:eastAsia="仿宋_GB2312" w:hAnsi="宋体" w:cs="仿宋"/>
          <w:sz w:val="32"/>
          <w:szCs w:val="32"/>
        </w:rPr>
        <w:t>2</w:t>
      </w:r>
      <w:r w:rsidRPr="00BC15A7">
        <w:rPr>
          <w:rFonts w:ascii="仿宋_GB2312" w:eastAsia="仿宋_GB2312" w:hAnsi="宋体" w:cs="仿宋" w:hint="eastAsia"/>
          <w:sz w:val="32"/>
          <w:szCs w:val="32"/>
        </w:rPr>
        <w:t>天以上或参会人数超过</w:t>
      </w:r>
      <w:r w:rsidRPr="00BC15A7">
        <w:rPr>
          <w:rFonts w:ascii="仿宋_GB2312" w:eastAsia="仿宋_GB2312" w:hAnsi="宋体" w:cs="仿宋"/>
          <w:sz w:val="32"/>
          <w:szCs w:val="32"/>
        </w:rPr>
        <w:t>50</w:t>
      </w:r>
      <w:r w:rsidRPr="00BC15A7">
        <w:rPr>
          <w:rFonts w:ascii="仿宋_GB2312" w:eastAsia="仿宋_GB2312" w:hAnsi="宋体" w:cs="仿宋" w:hint="eastAsia"/>
          <w:sz w:val="32"/>
          <w:szCs w:val="32"/>
        </w:rPr>
        <w:t>人的，还须经项目归口管理单位审批</w:t>
      </w:r>
      <w:r w:rsidR="00150ADE">
        <w:rPr>
          <w:rFonts w:ascii="仿宋_GB2312" w:eastAsia="仿宋_GB2312" w:hAnsi="宋体" w:cs="仿宋" w:hint="eastAsia"/>
          <w:sz w:val="32"/>
          <w:szCs w:val="32"/>
        </w:rPr>
        <w:t>；</w:t>
      </w:r>
    </w:p>
    <w:p w14:paraId="3424C0ED" w14:textId="253D12FA" w:rsidR="00150ADE" w:rsidRDefault="00150ADE" w:rsidP="00BC15A7">
      <w:pPr>
        <w:snapToGrid w:val="0"/>
        <w:spacing w:line="360" w:lineRule="auto"/>
        <w:ind w:firstLineChars="200" w:firstLine="640"/>
        <w:rPr>
          <w:rFonts w:ascii="仿宋_GB2312" w:eastAsia="仿宋_GB2312" w:hAnsi="宋体" w:cs="仿宋"/>
          <w:sz w:val="32"/>
          <w:szCs w:val="32"/>
        </w:rPr>
      </w:pPr>
      <w:r>
        <w:rPr>
          <w:rFonts w:ascii="仿宋_GB2312" w:eastAsia="仿宋_GB2312" w:hAnsi="宋体" w:cs="仿宋" w:hint="eastAsia"/>
          <w:sz w:val="32"/>
          <w:szCs w:val="32"/>
        </w:rPr>
        <w:t>所有</w:t>
      </w:r>
      <w:r w:rsidR="00716331" w:rsidRPr="00BC15A7">
        <w:rPr>
          <w:rFonts w:ascii="仿宋_GB2312" w:eastAsia="仿宋_GB2312" w:hAnsi="宋体" w:cs="仿宋" w:hint="eastAsia"/>
          <w:sz w:val="32"/>
          <w:szCs w:val="32"/>
        </w:rPr>
        <w:t>国内管理会议</w:t>
      </w:r>
      <w:r>
        <w:rPr>
          <w:rFonts w:ascii="仿宋_GB2312" w:eastAsia="仿宋_GB2312" w:hAnsi="宋体" w:cs="仿宋" w:hint="eastAsia"/>
          <w:sz w:val="32"/>
          <w:szCs w:val="32"/>
        </w:rPr>
        <w:t>均</w:t>
      </w:r>
      <w:r w:rsidR="00716331" w:rsidRPr="00BC15A7">
        <w:rPr>
          <w:rFonts w:ascii="仿宋_GB2312" w:eastAsia="仿宋_GB2312" w:hAnsi="宋体" w:cs="仿宋" w:hint="eastAsia"/>
          <w:sz w:val="32"/>
          <w:szCs w:val="32"/>
        </w:rPr>
        <w:t>由党政办审批</w:t>
      </w:r>
      <w:r>
        <w:rPr>
          <w:rFonts w:ascii="仿宋_GB2312" w:eastAsia="仿宋_GB2312" w:hAnsi="宋体" w:cs="仿宋" w:hint="eastAsia"/>
          <w:sz w:val="32"/>
          <w:szCs w:val="32"/>
        </w:rPr>
        <w:t>；</w:t>
      </w:r>
    </w:p>
    <w:p w14:paraId="2210EFC1" w14:textId="487ADDA9" w:rsidR="000825AB" w:rsidRPr="00BC15A7" w:rsidRDefault="00150ADE" w:rsidP="00BC15A7">
      <w:pPr>
        <w:snapToGrid w:val="0"/>
        <w:spacing w:line="360" w:lineRule="auto"/>
        <w:ind w:firstLineChars="200" w:firstLine="640"/>
        <w:rPr>
          <w:rFonts w:ascii="仿宋_GB2312" w:eastAsia="仿宋_GB2312" w:hAnsi="宋体" w:cs="仿宋"/>
          <w:sz w:val="32"/>
          <w:szCs w:val="32"/>
        </w:rPr>
      </w:pPr>
      <w:r>
        <w:rPr>
          <w:rFonts w:ascii="仿宋_GB2312" w:eastAsia="仿宋_GB2312" w:hAnsi="宋体" w:cs="仿宋" w:hint="eastAsia"/>
          <w:sz w:val="32"/>
          <w:szCs w:val="32"/>
        </w:rPr>
        <w:t>所有</w:t>
      </w:r>
      <w:r w:rsidR="00716331" w:rsidRPr="00BC15A7">
        <w:rPr>
          <w:rFonts w:ascii="仿宋_GB2312" w:eastAsia="仿宋_GB2312" w:hAnsi="宋体" w:cs="仿宋" w:hint="eastAsia"/>
          <w:sz w:val="32"/>
          <w:szCs w:val="32"/>
        </w:rPr>
        <w:t>在华举办国际会议</w:t>
      </w:r>
      <w:r>
        <w:rPr>
          <w:rFonts w:ascii="仿宋_GB2312" w:eastAsia="仿宋_GB2312" w:hAnsi="宋体" w:cs="仿宋" w:hint="eastAsia"/>
          <w:sz w:val="32"/>
          <w:szCs w:val="32"/>
        </w:rPr>
        <w:t>均</w:t>
      </w:r>
      <w:r w:rsidR="00716331" w:rsidRPr="00BC15A7">
        <w:rPr>
          <w:rFonts w:ascii="仿宋_GB2312" w:eastAsia="仿宋_GB2312" w:hAnsi="宋体" w:cs="仿宋" w:hint="eastAsia"/>
          <w:sz w:val="32"/>
          <w:szCs w:val="32"/>
        </w:rPr>
        <w:t>由国际合作与交流处</w:t>
      </w:r>
      <w:r>
        <w:rPr>
          <w:rFonts w:ascii="仿宋_GB2312" w:eastAsia="仿宋_GB2312" w:hAnsi="宋体" w:cs="仿宋" w:hint="eastAsia"/>
          <w:sz w:val="32"/>
          <w:szCs w:val="32"/>
        </w:rPr>
        <w:t>审批后</w:t>
      </w:r>
      <w:r w:rsidR="00716331" w:rsidRPr="00BC15A7">
        <w:rPr>
          <w:rFonts w:ascii="仿宋_GB2312" w:eastAsia="仿宋_GB2312" w:hAnsi="宋体" w:cs="仿宋" w:hint="eastAsia"/>
          <w:sz w:val="32"/>
          <w:szCs w:val="32"/>
        </w:rPr>
        <w:t>报教育部批准</w:t>
      </w:r>
      <w:bookmarkEnd w:id="2"/>
      <w:r w:rsidR="00716331" w:rsidRPr="00BC15A7">
        <w:rPr>
          <w:rFonts w:ascii="仿宋_GB2312" w:eastAsia="仿宋_GB2312" w:hAnsi="宋体" w:cs="仿宋" w:hint="eastAsia"/>
          <w:sz w:val="32"/>
          <w:szCs w:val="32"/>
        </w:rPr>
        <w:t>。</w:t>
      </w:r>
    </w:p>
    <w:p w14:paraId="58FA001D" w14:textId="77777777" w:rsidR="00DC39F1" w:rsidRPr="00367FD9" w:rsidRDefault="00DC39F1" w:rsidP="00DC39F1">
      <w:pPr>
        <w:pStyle w:val="a4"/>
        <w:numPr>
          <w:ilvl w:val="0"/>
          <w:numId w:val="1"/>
        </w:numPr>
        <w:snapToGrid w:val="0"/>
        <w:spacing w:line="360" w:lineRule="auto"/>
        <w:ind w:left="0" w:firstLineChars="0" w:firstLine="555"/>
        <w:rPr>
          <w:rFonts w:ascii="仿宋_GB2312" w:eastAsia="仿宋_GB2312" w:hAnsi="宋体" w:cs="仿宋"/>
          <w:sz w:val="32"/>
          <w:szCs w:val="32"/>
        </w:rPr>
      </w:pPr>
      <w:r w:rsidRPr="00367FD9">
        <w:rPr>
          <w:rFonts w:ascii="仿宋_GB2312" w:eastAsia="仿宋_GB2312" w:hAnsi="宋体" w:cs="仿宋" w:hint="eastAsia"/>
          <w:sz w:val="32"/>
          <w:szCs w:val="32"/>
        </w:rPr>
        <w:t>使用财政专项经费、</w:t>
      </w:r>
      <w:r>
        <w:rPr>
          <w:rFonts w:ascii="仿宋_GB2312" w:eastAsia="仿宋_GB2312" w:hAnsi="宋体" w:cs="仿宋" w:hint="eastAsia"/>
          <w:sz w:val="32"/>
          <w:szCs w:val="32"/>
        </w:rPr>
        <w:t>中央财政科研经费</w:t>
      </w:r>
      <w:r w:rsidRPr="00367FD9">
        <w:rPr>
          <w:rFonts w:ascii="仿宋_GB2312" w:eastAsia="仿宋_GB2312" w:hAnsi="宋体" w:cs="仿宋" w:hint="eastAsia"/>
          <w:sz w:val="32"/>
          <w:szCs w:val="32"/>
        </w:rPr>
        <w:t>和其他实行预算控制的经费召开会议，应在经费批准的会议费预算额度和标准内开支会议费。</w:t>
      </w:r>
    </w:p>
    <w:p w14:paraId="09E32F88" w14:textId="77777777" w:rsidR="00DC39F1" w:rsidRPr="00367FD9" w:rsidRDefault="00DC39F1" w:rsidP="00DC39F1">
      <w:pPr>
        <w:pStyle w:val="a4"/>
        <w:numPr>
          <w:ilvl w:val="0"/>
          <w:numId w:val="1"/>
        </w:numPr>
        <w:snapToGrid w:val="0"/>
        <w:spacing w:line="360" w:lineRule="auto"/>
        <w:ind w:left="0" w:firstLineChars="0" w:firstLine="555"/>
        <w:rPr>
          <w:rFonts w:ascii="仿宋_GB2312" w:eastAsia="仿宋_GB2312" w:hAnsi="宋体" w:cs="仿宋"/>
          <w:sz w:val="32"/>
          <w:szCs w:val="32"/>
        </w:rPr>
      </w:pPr>
      <w:r w:rsidRPr="00367FD9">
        <w:rPr>
          <w:rFonts w:ascii="仿宋_GB2312" w:eastAsia="仿宋_GB2312" w:hAnsi="宋体" w:cs="仿宋" w:hint="eastAsia"/>
          <w:sz w:val="32"/>
          <w:szCs w:val="32"/>
        </w:rPr>
        <w:t>各单位召开会议应当改进会议形式，充分运用电</w:t>
      </w:r>
      <w:r w:rsidRPr="00367FD9">
        <w:rPr>
          <w:rFonts w:ascii="仿宋_GB2312" w:eastAsia="仿宋_GB2312" w:hAnsi="宋体" w:cs="仿宋" w:hint="eastAsia"/>
          <w:sz w:val="32"/>
          <w:szCs w:val="32"/>
        </w:rPr>
        <w:lastRenderedPageBreak/>
        <w:t>视电话、网络视频等现代信息技术手段，降低会议成本，提高会议效率。</w:t>
      </w:r>
    </w:p>
    <w:p w14:paraId="6BA32375" w14:textId="77777777" w:rsidR="00DC39F1" w:rsidRPr="0096157C" w:rsidRDefault="00DC39F1" w:rsidP="00DC39F1">
      <w:pPr>
        <w:pStyle w:val="a4"/>
        <w:numPr>
          <w:ilvl w:val="0"/>
          <w:numId w:val="1"/>
        </w:numPr>
        <w:snapToGrid w:val="0"/>
        <w:spacing w:line="360" w:lineRule="auto"/>
        <w:ind w:left="0" w:firstLineChars="0" w:firstLine="555"/>
        <w:rPr>
          <w:rFonts w:ascii="仿宋_GB2312" w:eastAsia="仿宋_GB2312" w:hAnsi="宋体" w:cs="仿宋"/>
          <w:sz w:val="32"/>
          <w:szCs w:val="32"/>
        </w:rPr>
      </w:pPr>
      <w:r>
        <w:rPr>
          <w:rFonts w:ascii="仿宋_GB2312" w:eastAsia="仿宋_GB2312" w:hAnsi="宋体" w:cs="仿宋" w:hint="eastAsia"/>
          <w:sz w:val="32"/>
          <w:szCs w:val="32"/>
        </w:rPr>
        <w:t>会议优先安排在学校内部会议室、礼堂</w:t>
      </w:r>
      <w:r w:rsidRPr="00367FD9">
        <w:rPr>
          <w:rFonts w:ascii="仿宋_GB2312" w:eastAsia="仿宋_GB2312" w:hAnsi="宋体" w:cs="仿宋" w:hint="eastAsia"/>
          <w:sz w:val="32"/>
          <w:szCs w:val="32"/>
        </w:rPr>
        <w:t>等场所。</w:t>
      </w:r>
      <w:r>
        <w:rPr>
          <w:rFonts w:ascii="仿宋_GB2312" w:eastAsia="仿宋_GB2312" w:hAnsi="仿宋" w:cs="仿宋" w:hint="eastAsia"/>
          <w:sz w:val="32"/>
          <w:szCs w:val="32"/>
        </w:rPr>
        <w:t>当校内不具备召开条件时，</w:t>
      </w:r>
      <w:r w:rsidRPr="0056176D">
        <w:rPr>
          <w:rFonts w:ascii="仿宋_GB2312" w:eastAsia="仿宋_GB2312" w:hAnsi="仿宋" w:cs="仿宋" w:hint="eastAsia"/>
          <w:sz w:val="32"/>
          <w:szCs w:val="32"/>
        </w:rPr>
        <w:t>根据政府采购管理的范围和工作的实际情况，选择具有中央或地方会议定点资格的定点饭店召开</w:t>
      </w:r>
      <w:r>
        <w:rPr>
          <w:rFonts w:ascii="仿宋_GB2312" w:eastAsia="仿宋_GB2312" w:hAnsi="仿宋" w:cs="仿宋" w:hint="eastAsia"/>
          <w:sz w:val="32"/>
          <w:szCs w:val="32"/>
        </w:rPr>
        <w:t>。</w:t>
      </w:r>
      <w:r w:rsidRPr="00367FD9">
        <w:rPr>
          <w:rFonts w:ascii="仿宋_GB2312" w:eastAsia="仿宋_GB2312" w:hAnsi="宋体" w:cs="仿宋" w:hint="eastAsia"/>
          <w:sz w:val="32"/>
          <w:szCs w:val="32"/>
        </w:rPr>
        <w:t>国内会议原则上应安排在四星级以下（含四星）宾馆。</w:t>
      </w:r>
      <w:r w:rsidRPr="0096157C">
        <w:rPr>
          <w:rFonts w:ascii="仿宋_GB2312" w:eastAsia="仿宋_GB2312" w:hAnsi="宋体" w:cs="仿宋" w:hint="eastAsia"/>
          <w:sz w:val="32"/>
          <w:szCs w:val="32"/>
        </w:rPr>
        <w:t>参会人员以在京单位为主（超过50%为在京单位人员）的会议原则上不得到京外召开。不得到党中央、国务院明令禁止的风景名胜区召开会议。</w:t>
      </w:r>
    </w:p>
    <w:p w14:paraId="6C944267" w14:textId="77777777" w:rsidR="00DC39F1" w:rsidRPr="00367FD9" w:rsidRDefault="00DC39F1" w:rsidP="00DC39F1">
      <w:pPr>
        <w:pStyle w:val="a4"/>
        <w:numPr>
          <w:ilvl w:val="0"/>
          <w:numId w:val="1"/>
        </w:numPr>
        <w:snapToGrid w:val="0"/>
        <w:spacing w:line="360" w:lineRule="auto"/>
        <w:ind w:left="0" w:firstLineChars="0" w:firstLine="555"/>
        <w:rPr>
          <w:rFonts w:ascii="仿宋_GB2312" w:eastAsia="仿宋_GB2312" w:hAnsi="宋体" w:cs="仿宋"/>
          <w:sz w:val="32"/>
          <w:szCs w:val="32"/>
        </w:rPr>
      </w:pPr>
      <w:r w:rsidRPr="00367FD9">
        <w:rPr>
          <w:rFonts w:ascii="仿宋_GB2312" w:eastAsia="仿宋_GB2312" w:hAnsi="宋体" w:cs="仿宋" w:hint="eastAsia"/>
          <w:sz w:val="32"/>
          <w:szCs w:val="32"/>
        </w:rPr>
        <w:t>会议召开地</w:t>
      </w:r>
      <w:r w:rsidR="00C70474">
        <w:rPr>
          <w:rFonts w:ascii="仿宋_GB2312" w:eastAsia="仿宋_GB2312" w:hAnsi="宋体" w:cs="仿宋" w:hint="eastAsia"/>
          <w:sz w:val="32"/>
          <w:szCs w:val="32"/>
        </w:rPr>
        <w:t>参会人员</w:t>
      </w:r>
      <w:r w:rsidRPr="00367FD9">
        <w:rPr>
          <w:rFonts w:ascii="仿宋_GB2312" w:eastAsia="仿宋_GB2312" w:hAnsi="宋体" w:cs="仿宋" w:hint="eastAsia"/>
          <w:sz w:val="32"/>
          <w:szCs w:val="32"/>
        </w:rPr>
        <w:t>原则上不安排住宿。工作人员除必须住会的以外，不安排住宿。</w:t>
      </w:r>
    </w:p>
    <w:p w14:paraId="0EC44FD9" w14:textId="77777777" w:rsidR="00DC39F1" w:rsidRPr="00367FD9" w:rsidRDefault="00DC39F1" w:rsidP="00DC39F1">
      <w:pPr>
        <w:pStyle w:val="a4"/>
        <w:numPr>
          <w:ilvl w:val="0"/>
          <w:numId w:val="1"/>
        </w:numPr>
        <w:snapToGrid w:val="0"/>
        <w:spacing w:line="360" w:lineRule="auto"/>
        <w:ind w:left="0" w:firstLineChars="0" w:firstLine="555"/>
        <w:rPr>
          <w:rFonts w:ascii="仿宋_GB2312" w:eastAsia="仿宋_GB2312" w:hAnsi="宋体" w:cs="仿宋"/>
          <w:sz w:val="32"/>
          <w:szCs w:val="32"/>
        </w:rPr>
      </w:pPr>
      <w:r w:rsidRPr="00367FD9">
        <w:rPr>
          <w:rFonts w:ascii="仿宋_GB2312" w:eastAsia="仿宋_GB2312" w:hAnsi="宋体" w:cs="仿宋" w:hint="eastAsia"/>
          <w:sz w:val="32"/>
          <w:szCs w:val="32"/>
        </w:rPr>
        <w:t>举办会议开支范围包括会议住宿费、伙食费、会议室租金、交通费、文件印刷费、办公文具、医药费等；国际会议可开支同声传译翻译费、同声传译设备租金费用</w:t>
      </w:r>
      <w:r>
        <w:rPr>
          <w:rFonts w:ascii="仿宋_GB2312" w:eastAsia="仿宋_GB2312" w:hAnsi="宋体" w:cs="仿宋" w:hint="eastAsia"/>
          <w:sz w:val="32"/>
          <w:szCs w:val="32"/>
        </w:rPr>
        <w:t>等</w:t>
      </w:r>
      <w:r w:rsidRPr="00367FD9">
        <w:rPr>
          <w:rFonts w:ascii="仿宋_GB2312" w:eastAsia="仿宋_GB2312" w:hAnsi="宋体" w:cs="仿宋" w:hint="eastAsia"/>
          <w:sz w:val="32"/>
          <w:szCs w:val="32"/>
        </w:rPr>
        <w:t>。</w:t>
      </w:r>
    </w:p>
    <w:p w14:paraId="1C37F700" w14:textId="77777777" w:rsidR="00DC39F1" w:rsidRPr="00367FD9" w:rsidRDefault="00DC39F1" w:rsidP="00DC39F1">
      <w:pPr>
        <w:pStyle w:val="a4"/>
        <w:numPr>
          <w:ilvl w:val="0"/>
          <w:numId w:val="1"/>
        </w:numPr>
        <w:snapToGrid w:val="0"/>
        <w:spacing w:line="360" w:lineRule="auto"/>
        <w:ind w:left="0" w:firstLineChars="0" w:firstLine="555"/>
        <w:rPr>
          <w:rFonts w:ascii="仿宋_GB2312" w:eastAsia="仿宋_GB2312" w:hAnsi="宋体" w:cs="仿宋"/>
          <w:sz w:val="32"/>
          <w:szCs w:val="32"/>
        </w:rPr>
      </w:pPr>
      <w:r w:rsidRPr="00367FD9">
        <w:rPr>
          <w:rFonts w:ascii="仿宋_GB2312" w:eastAsia="仿宋_GB2312" w:hAnsi="宋体" w:cs="仿宋" w:hint="eastAsia"/>
          <w:sz w:val="32"/>
          <w:szCs w:val="32"/>
        </w:rPr>
        <w:t>会</w:t>
      </w:r>
      <w:r>
        <w:rPr>
          <w:rFonts w:ascii="仿宋_GB2312" w:eastAsia="仿宋_GB2312" w:hAnsi="宋体" w:cs="仿宋" w:hint="eastAsia"/>
          <w:sz w:val="32"/>
          <w:szCs w:val="32"/>
        </w:rPr>
        <w:t>议费开支实行综合定额控制，各项费用之间可以调剂使用，超出定额部分原则上不予报销。各类</w:t>
      </w:r>
      <w:r w:rsidRPr="00367FD9">
        <w:rPr>
          <w:rFonts w:ascii="仿宋_GB2312" w:eastAsia="仿宋_GB2312" w:hAnsi="宋体" w:cs="仿宋" w:hint="eastAsia"/>
          <w:sz w:val="32"/>
          <w:szCs w:val="32"/>
        </w:rPr>
        <w:t>会议费综合定额标准如下：</w:t>
      </w:r>
    </w:p>
    <w:p w14:paraId="2A0B7333" w14:textId="77777777" w:rsidR="00DC39F1" w:rsidRPr="005C47DC" w:rsidRDefault="00DC39F1" w:rsidP="00DC39F1">
      <w:pPr>
        <w:snapToGrid w:val="0"/>
        <w:spacing w:line="360" w:lineRule="auto"/>
        <w:ind w:firstLine="555"/>
        <w:jc w:val="center"/>
        <w:rPr>
          <w:rFonts w:ascii="仿宋_GB2312" w:eastAsia="仿宋_GB2312" w:hAnsi="宋体" w:cs="仿宋"/>
          <w:sz w:val="28"/>
          <w:szCs w:val="28"/>
        </w:rPr>
      </w:pPr>
      <w:r>
        <w:rPr>
          <w:rFonts w:ascii="仿宋_GB2312" w:eastAsia="仿宋_GB2312" w:hAnsi="宋体" w:cs="仿宋" w:hint="eastAsia"/>
          <w:sz w:val="28"/>
          <w:szCs w:val="28"/>
        </w:rPr>
        <w:t xml:space="preserve">                          </w:t>
      </w:r>
      <w:r w:rsidRPr="005C47DC">
        <w:rPr>
          <w:rFonts w:ascii="仿宋_GB2312" w:eastAsia="仿宋_GB2312" w:hAnsi="宋体" w:cs="仿宋" w:hint="eastAsia"/>
          <w:sz w:val="28"/>
          <w:szCs w:val="28"/>
        </w:rPr>
        <w:t xml:space="preserve">  单位:元/人.天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1305"/>
        <w:gridCol w:w="1280"/>
        <w:gridCol w:w="1373"/>
        <w:gridCol w:w="1320"/>
      </w:tblGrid>
      <w:tr w:rsidR="00DC39F1" w:rsidRPr="005C47DC" w14:paraId="78313BE3" w14:textId="77777777" w:rsidTr="002E30E9">
        <w:trPr>
          <w:jc w:val="center"/>
        </w:trPr>
        <w:tc>
          <w:tcPr>
            <w:tcW w:w="2592" w:type="dxa"/>
            <w:tcBorders>
              <w:top w:val="single" w:sz="4" w:space="0" w:color="auto"/>
              <w:left w:val="single" w:sz="4" w:space="0" w:color="auto"/>
              <w:bottom w:val="single" w:sz="4" w:space="0" w:color="auto"/>
              <w:right w:val="single" w:sz="4" w:space="0" w:color="auto"/>
            </w:tcBorders>
            <w:vAlign w:val="center"/>
            <w:hideMark/>
          </w:tcPr>
          <w:p w14:paraId="144F27D9"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会议类别</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BB86BC6"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住宿费</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D0B70C2"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伙食费</w:t>
            </w:r>
          </w:p>
        </w:tc>
        <w:tc>
          <w:tcPr>
            <w:tcW w:w="1373" w:type="dxa"/>
            <w:tcBorders>
              <w:top w:val="single" w:sz="4" w:space="0" w:color="auto"/>
              <w:left w:val="single" w:sz="4" w:space="0" w:color="auto"/>
              <w:bottom w:val="single" w:sz="4" w:space="0" w:color="auto"/>
              <w:right w:val="single" w:sz="4" w:space="0" w:color="auto"/>
            </w:tcBorders>
            <w:vAlign w:val="center"/>
            <w:hideMark/>
          </w:tcPr>
          <w:p w14:paraId="2AF1968C"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其他费用</w:t>
            </w:r>
          </w:p>
        </w:tc>
        <w:tc>
          <w:tcPr>
            <w:tcW w:w="1320" w:type="dxa"/>
            <w:tcBorders>
              <w:top w:val="single" w:sz="4" w:space="0" w:color="auto"/>
              <w:left w:val="single" w:sz="4" w:space="0" w:color="auto"/>
              <w:bottom w:val="single" w:sz="4" w:space="0" w:color="auto"/>
              <w:right w:val="single" w:sz="4" w:space="0" w:color="auto"/>
            </w:tcBorders>
            <w:vAlign w:val="center"/>
            <w:hideMark/>
          </w:tcPr>
          <w:p w14:paraId="11294B0F"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合</w:t>
            </w:r>
            <w:r w:rsidRPr="006A6D4E">
              <w:rPr>
                <w:rFonts w:ascii="仿宋_GB2312" w:eastAsia="仿宋_GB2312" w:hAnsi="宋体" w:hint="eastAsia"/>
                <w:sz w:val="28"/>
                <w:szCs w:val="28"/>
                <w:shd w:val="clear" w:color="auto" w:fill="FFFFFF"/>
              </w:rPr>
              <w:t>计</w:t>
            </w:r>
          </w:p>
        </w:tc>
      </w:tr>
      <w:tr w:rsidR="00DC39F1" w:rsidRPr="005C47DC" w14:paraId="25BB244E" w14:textId="77777777" w:rsidTr="002E30E9">
        <w:trPr>
          <w:jc w:val="center"/>
        </w:trPr>
        <w:tc>
          <w:tcPr>
            <w:tcW w:w="2592" w:type="dxa"/>
            <w:tcBorders>
              <w:top w:val="single" w:sz="4" w:space="0" w:color="auto"/>
              <w:left w:val="single" w:sz="4" w:space="0" w:color="auto"/>
              <w:bottom w:val="single" w:sz="4" w:space="0" w:color="auto"/>
              <w:right w:val="single" w:sz="4" w:space="0" w:color="auto"/>
            </w:tcBorders>
            <w:vAlign w:val="center"/>
            <w:hideMark/>
          </w:tcPr>
          <w:p w14:paraId="13D37192"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国内业务会议</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1B8BC7D"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400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723E812"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150</w:t>
            </w:r>
          </w:p>
        </w:tc>
        <w:tc>
          <w:tcPr>
            <w:tcW w:w="1373" w:type="dxa"/>
            <w:tcBorders>
              <w:top w:val="single" w:sz="4" w:space="0" w:color="auto"/>
              <w:left w:val="single" w:sz="4" w:space="0" w:color="auto"/>
              <w:bottom w:val="single" w:sz="4" w:space="0" w:color="auto"/>
              <w:right w:val="single" w:sz="4" w:space="0" w:color="auto"/>
            </w:tcBorders>
            <w:vAlign w:val="center"/>
            <w:hideMark/>
          </w:tcPr>
          <w:p w14:paraId="578ABA27"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100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0144C2E"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650</w:t>
            </w:r>
          </w:p>
        </w:tc>
      </w:tr>
      <w:tr w:rsidR="00DC39F1" w:rsidRPr="005C47DC" w14:paraId="1B9C1D59" w14:textId="77777777" w:rsidTr="002E30E9">
        <w:trPr>
          <w:jc w:val="center"/>
        </w:trPr>
        <w:tc>
          <w:tcPr>
            <w:tcW w:w="2592" w:type="dxa"/>
            <w:tcBorders>
              <w:top w:val="single" w:sz="4" w:space="0" w:color="auto"/>
              <w:left w:val="single" w:sz="4" w:space="0" w:color="auto"/>
              <w:bottom w:val="single" w:sz="4" w:space="0" w:color="auto"/>
              <w:right w:val="single" w:sz="4" w:space="0" w:color="auto"/>
            </w:tcBorders>
            <w:vAlign w:val="center"/>
            <w:hideMark/>
          </w:tcPr>
          <w:p w14:paraId="176C8288"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国内管理会议</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8D85361"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340</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E037E03"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130</w:t>
            </w:r>
          </w:p>
        </w:tc>
        <w:tc>
          <w:tcPr>
            <w:tcW w:w="1373" w:type="dxa"/>
            <w:tcBorders>
              <w:top w:val="single" w:sz="4" w:space="0" w:color="auto"/>
              <w:left w:val="single" w:sz="4" w:space="0" w:color="auto"/>
              <w:bottom w:val="single" w:sz="4" w:space="0" w:color="auto"/>
              <w:right w:val="single" w:sz="4" w:space="0" w:color="auto"/>
            </w:tcBorders>
            <w:vAlign w:val="center"/>
            <w:hideMark/>
          </w:tcPr>
          <w:p w14:paraId="470627C2"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80</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230222E"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550</w:t>
            </w:r>
          </w:p>
        </w:tc>
      </w:tr>
      <w:tr w:rsidR="00DC39F1" w:rsidRPr="005C47DC" w14:paraId="1477E7C6" w14:textId="77777777" w:rsidTr="002E30E9">
        <w:trPr>
          <w:jc w:val="center"/>
        </w:trPr>
        <w:tc>
          <w:tcPr>
            <w:tcW w:w="2592" w:type="dxa"/>
            <w:tcBorders>
              <w:top w:val="single" w:sz="4" w:space="0" w:color="auto"/>
              <w:left w:val="single" w:sz="4" w:space="0" w:color="auto"/>
              <w:bottom w:val="single" w:sz="4" w:space="0" w:color="auto"/>
              <w:right w:val="single" w:sz="4" w:space="0" w:color="auto"/>
            </w:tcBorders>
            <w:vAlign w:val="center"/>
          </w:tcPr>
          <w:p w14:paraId="4F1EA29E"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在华举办国际会议</w:t>
            </w:r>
          </w:p>
        </w:tc>
        <w:tc>
          <w:tcPr>
            <w:tcW w:w="1305" w:type="dxa"/>
            <w:tcBorders>
              <w:top w:val="single" w:sz="4" w:space="0" w:color="auto"/>
              <w:left w:val="single" w:sz="4" w:space="0" w:color="auto"/>
              <w:bottom w:val="single" w:sz="4" w:space="0" w:color="auto"/>
              <w:right w:val="single" w:sz="4" w:space="0" w:color="auto"/>
            </w:tcBorders>
            <w:vAlign w:val="center"/>
          </w:tcPr>
          <w:p w14:paraId="65516595"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700</w:t>
            </w:r>
          </w:p>
        </w:tc>
        <w:tc>
          <w:tcPr>
            <w:tcW w:w="1280" w:type="dxa"/>
            <w:tcBorders>
              <w:top w:val="single" w:sz="4" w:space="0" w:color="auto"/>
              <w:left w:val="single" w:sz="4" w:space="0" w:color="auto"/>
              <w:bottom w:val="single" w:sz="4" w:space="0" w:color="auto"/>
              <w:right w:val="single" w:sz="4" w:space="0" w:color="auto"/>
            </w:tcBorders>
            <w:vAlign w:val="center"/>
          </w:tcPr>
          <w:p w14:paraId="7EB2EB54"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200</w:t>
            </w:r>
          </w:p>
        </w:tc>
        <w:tc>
          <w:tcPr>
            <w:tcW w:w="1373" w:type="dxa"/>
            <w:tcBorders>
              <w:top w:val="single" w:sz="4" w:space="0" w:color="auto"/>
              <w:left w:val="single" w:sz="4" w:space="0" w:color="auto"/>
              <w:bottom w:val="single" w:sz="4" w:space="0" w:color="auto"/>
              <w:right w:val="single" w:sz="4" w:space="0" w:color="auto"/>
            </w:tcBorders>
            <w:vAlign w:val="center"/>
          </w:tcPr>
          <w:p w14:paraId="30FAEC6E"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300</w:t>
            </w:r>
          </w:p>
        </w:tc>
        <w:tc>
          <w:tcPr>
            <w:tcW w:w="1320" w:type="dxa"/>
            <w:tcBorders>
              <w:top w:val="single" w:sz="4" w:space="0" w:color="auto"/>
              <w:left w:val="single" w:sz="4" w:space="0" w:color="auto"/>
              <w:bottom w:val="single" w:sz="4" w:space="0" w:color="auto"/>
              <w:right w:val="single" w:sz="4" w:space="0" w:color="auto"/>
            </w:tcBorders>
            <w:vAlign w:val="center"/>
          </w:tcPr>
          <w:p w14:paraId="254CF5A1" w14:textId="77777777" w:rsidR="00DC39F1" w:rsidRPr="006A6D4E" w:rsidRDefault="00DC39F1" w:rsidP="002E30E9">
            <w:pPr>
              <w:autoSpaceDN w:val="0"/>
              <w:spacing w:line="360" w:lineRule="auto"/>
              <w:jc w:val="center"/>
              <w:rPr>
                <w:rFonts w:ascii="仿宋_GB2312" w:eastAsia="仿宋_GB2312" w:hAnsi="宋体"/>
                <w:sz w:val="28"/>
                <w:szCs w:val="28"/>
                <w:shd w:val="clear" w:color="auto" w:fill="FFFFFF"/>
              </w:rPr>
            </w:pPr>
            <w:r w:rsidRPr="006A6D4E">
              <w:rPr>
                <w:rFonts w:ascii="仿宋_GB2312" w:eastAsia="仿宋_GB2312" w:hAnsi="宋体" w:hint="eastAsia"/>
                <w:sz w:val="28"/>
                <w:szCs w:val="28"/>
                <w:shd w:val="clear" w:color="auto" w:fill="FFFFFF"/>
              </w:rPr>
              <w:t>1200</w:t>
            </w:r>
          </w:p>
        </w:tc>
      </w:tr>
    </w:tbl>
    <w:p w14:paraId="570358F1" w14:textId="77777777" w:rsidR="00DC39F1" w:rsidRDefault="00DC39F1" w:rsidP="00DC39F1">
      <w:pPr>
        <w:snapToGrid w:val="0"/>
        <w:spacing w:line="360" w:lineRule="auto"/>
        <w:ind w:firstLine="570"/>
        <w:rPr>
          <w:rFonts w:ascii="仿宋_GB2312" w:eastAsia="仿宋_GB2312" w:hAnsi="宋体" w:cs="仿宋"/>
          <w:sz w:val="32"/>
          <w:szCs w:val="32"/>
        </w:rPr>
      </w:pPr>
    </w:p>
    <w:p w14:paraId="3677F05D" w14:textId="77777777" w:rsidR="00DC39F1" w:rsidRPr="00D45532" w:rsidRDefault="00DC39F1" w:rsidP="00DC39F1">
      <w:pPr>
        <w:snapToGrid w:val="0"/>
        <w:spacing w:line="360" w:lineRule="auto"/>
        <w:ind w:firstLine="570"/>
        <w:rPr>
          <w:rFonts w:ascii="仿宋_GB2312" w:eastAsia="仿宋_GB2312" w:hAnsi="宋体" w:cs="仿宋"/>
          <w:sz w:val="32"/>
          <w:szCs w:val="32"/>
        </w:rPr>
      </w:pPr>
      <w:r w:rsidRPr="00367FD9">
        <w:rPr>
          <w:rFonts w:ascii="仿宋_GB2312" w:eastAsia="仿宋_GB2312" w:hAnsi="宋体" w:cs="仿宋" w:hint="eastAsia"/>
          <w:sz w:val="32"/>
          <w:szCs w:val="32"/>
        </w:rPr>
        <w:t>（一）综合定额</w:t>
      </w:r>
      <w:r>
        <w:rPr>
          <w:rFonts w:ascii="仿宋_GB2312" w:eastAsia="仿宋_GB2312" w:hAnsi="宋体" w:cs="仿宋" w:hint="eastAsia"/>
          <w:sz w:val="32"/>
          <w:szCs w:val="32"/>
        </w:rPr>
        <w:t>中</w:t>
      </w:r>
      <w:r w:rsidRPr="00367FD9">
        <w:rPr>
          <w:rFonts w:ascii="仿宋_GB2312" w:eastAsia="仿宋_GB2312" w:hAnsi="宋体" w:cs="仿宋" w:hint="eastAsia"/>
          <w:sz w:val="32"/>
          <w:szCs w:val="32"/>
        </w:rPr>
        <w:t>的其他费用包括会议室租金、交通费、文件印刷费、办公文具、医药费等。</w:t>
      </w:r>
    </w:p>
    <w:p w14:paraId="324CFF52" w14:textId="77777777" w:rsidR="00DC39F1" w:rsidRPr="00367FD9" w:rsidRDefault="00DC39F1" w:rsidP="00DC39F1">
      <w:pPr>
        <w:snapToGrid w:val="0"/>
        <w:spacing w:line="360" w:lineRule="auto"/>
        <w:ind w:firstLine="570"/>
        <w:rPr>
          <w:rFonts w:ascii="仿宋_GB2312" w:eastAsia="仿宋_GB2312" w:hAnsi="宋体" w:cs="仿宋"/>
          <w:sz w:val="32"/>
          <w:szCs w:val="32"/>
        </w:rPr>
      </w:pPr>
      <w:r>
        <w:rPr>
          <w:rFonts w:ascii="仿宋_GB2312" w:eastAsia="仿宋_GB2312" w:hAnsi="宋体" w:cs="仿宋" w:hint="eastAsia"/>
          <w:sz w:val="32"/>
          <w:szCs w:val="32"/>
        </w:rPr>
        <w:t>（二</w:t>
      </w:r>
      <w:r w:rsidRPr="00367FD9">
        <w:rPr>
          <w:rFonts w:ascii="仿宋_GB2312" w:eastAsia="仿宋_GB2312" w:hAnsi="宋体" w:cs="仿宋" w:hint="eastAsia"/>
          <w:sz w:val="32"/>
          <w:szCs w:val="32"/>
        </w:rPr>
        <w:t>）不安排住宿的会议，综合定额按照扣除住宿费后的定额标准执行，住宿费不能调剂使用；不安排就餐的会议，综合定额按照扣除伙食费后的定额标准执行，伙食费不能调剂使用。</w:t>
      </w:r>
    </w:p>
    <w:p w14:paraId="4EEBB6F8" w14:textId="77777777" w:rsidR="00DC39F1" w:rsidRPr="00367FD9" w:rsidRDefault="00DC39F1" w:rsidP="00DC39F1">
      <w:pPr>
        <w:pStyle w:val="a4"/>
        <w:numPr>
          <w:ilvl w:val="0"/>
          <w:numId w:val="1"/>
        </w:numPr>
        <w:snapToGrid w:val="0"/>
        <w:spacing w:line="360" w:lineRule="auto"/>
        <w:ind w:left="0" w:firstLineChars="0" w:firstLine="555"/>
        <w:rPr>
          <w:rFonts w:ascii="仿宋_GB2312" w:eastAsia="仿宋_GB2312" w:hAnsi="宋体" w:cs="仿宋"/>
          <w:sz w:val="32"/>
          <w:szCs w:val="32"/>
        </w:rPr>
      </w:pPr>
      <w:r w:rsidRPr="00367FD9">
        <w:rPr>
          <w:rFonts w:ascii="仿宋_GB2312" w:eastAsia="仿宋_GB2312" w:hAnsi="宋体" w:cs="仿宋" w:hint="eastAsia"/>
          <w:sz w:val="32"/>
          <w:szCs w:val="32"/>
        </w:rPr>
        <w:t>下列费用</w:t>
      </w:r>
      <w:r>
        <w:rPr>
          <w:rFonts w:ascii="仿宋_GB2312" w:eastAsia="仿宋_GB2312" w:hAnsi="宋体" w:cs="仿宋" w:hint="eastAsia"/>
          <w:sz w:val="32"/>
          <w:szCs w:val="32"/>
        </w:rPr>
        <w:t>作为会议组成部分纳入会议费预算，但不计为</w:t>
      </w:r>
      <w:r w:rsidRPr="00367FD9">
        <w:rPr>
          <w:rFonts w:ascii="仿宋_GB2312" w:eastAsia="仿宋_GB2312" w:hAnsi="宋体" w:cs="仿宋" w:hint="eastAsia"/>
          <w:sz w:val="32"/>
          <w:szCs w:val="32"/>
        </w:rPr>
        <w:t>会议费综合控制定额，从相应的支出科目中据实列支：</w:t>
      </w:r>
    </w:p>
    <w:p w14:paraId="43D71B30"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sidRPr="00367FD9">
        <w:rPr>
          <w:rFonts w:ascii="仿宋_GB2312" w:eastAsia="仿宋_GB2312" w:hAnsi="宋体" w:cs="仿宋" w:hint="eastAsia"/>
          <w:sz w:val="32"/>
          <w:szCs w:val="32"/>
        </w:rPr>
        <w:t>（一）</w:t>
      </w:r>
      <w:bookmarkStart w:id="3" w:name="OLE_LINK7"/>
      <w:bookmarkStart w:id="4" w:name="OLE_LINK8"/>
      <w:r w:rsidRPr="00367FD9">
        <w:rPr>
          <w:rFonts w:ascii="仿宋_GB2312" w:eastAsia="仿宋_GB2312" w:hAnsi="宋体" w:cs="仿宋" w:hint="eastAsia"/>
          <w:sz w:val="32"/>
          <w:szCs w:val="32"/>
        </w:rPr>
        <w:t>会议</w:t>
      </w:r>
      <w:r w:rsidR="00C70474">
        <w:rPr>
          <w:rFonts w:ascii="仿宋_GB2312" w:eastAsia="仿宋_GB2312" w:hAnsi="宋体" w:cs="仿宋" w:hint="eastAsia"/>
          <w:sz w:val="32"/>
          <w:szCs w:val="32"/>
        </w:rPr>
        <w:t>参会人员</w:t>
      </w:r>
      <w:r w:rsidRPr="00367FD9">
        <w:rPr>
          <w:rFonts w:ascii="仿宋_GB2312" w:eastAsia="仿宋_GB2312" w:hAnsi="宋体" w:cs="仿宋" w:hint="eastAsia"/>
          <w:sz w:val="32"/>
          <w:szCs w:val="32"/>
        </w:rPr>
        <w:t>旅费</w:t>
      </w:r>
      <w:bookmarkEnd w:id="3"/>
      <w:bookmarkEnd w:id="4"/>
      <w:r w:rsidRPr="00367FD9">
        <w:rPr>
          <w:rFonts w:ascii="仿宋_GB2312" w:eastAsia="仿宋_GB2312" w:hAnsi="宋体" w:cs="仿宋" w:hint="eastAsia"/>
          <w:sz w:val="32"/>
          <w:szCs w:val="32"/>
        </w:rPr>
        <w:t>。会议</w:t>
      </w:r>
      <w:r w:rsidR="00C70474">
        <w:rPr>
          <w:rFonts w:ascii="仿宋_GB2312" w:eastAsia="仿宋_GB2312" w:hAnsi="宋体" w:cs="仿宋" w:hint="eastAsia"/>
          <w:sz w:val="32"/>
          <w:szCs w:val="32"/>
        </w:rPr>
        <w:t>参会人员</w:t>
      </w:r>
      <w:r w:rsidRPr="00367FD9">
        <w:rPr>
          <w:rFonts w:ascii="仿宋_GB2312" w:eastAsia="仿宋_GB2312" w:hAnsi="宋体" w:cs="仿宋" w:hint="eastAsia"/>
          <w:sz w:val="32"/>
          <w:szCs w:val="32"/>
        </w:rPr>
        <w:t>参加会议发生的旅费，</w:t>
      </w:r>
      <w:r>
        <w:rPr>
          <w:rFonts w:ascii="仿宋_GB2312" w:eastAsia="仿宋_GB2312" w:hAnsi="宋体" w:cs="仿宋" w:hint="eastAsia"/>
          <w:sz w:val="32"/>
          <w:szCs w:val="32"/>
        </w:rPr>
        <w:t>原则上</w:t>
      </w:r>
      <w:r w:rsidRPr="00332239">
        <w:rPr>
          <w:rFonts w:ascii="仿宋_GB2312" w:eastAsia="仿宋_GB2312" w:hAnsi="宋体" w:cs="仿宋" w:hint="eastAsia"/>
          <w:sz w:val="32"/>
          <w:szCs w:val="32"/>
        </w:rPr>
        <w:t>按照</w:t>
      </w:r>
      <w:r>
        <w:rPr>
          <w:rFonts w:ascii="仿宋_GB2312" w:eastAsia="仿宋_GB2312" w:hAnsi="宋体" w:cs="仿宋" w:hint="eastAsia"/>
          <w:sz w:val="32"/>
          <w:szCs w:val="32"/>
        </w:rPr>
        <w:t>相关规定由所在</w:t>
      </w:r>
      <w:r w:rsidRPr="00332239">
        <w:rPr>
          <w:rFonts w:ascii="仿宋_GB2312" w:eastAsia="仿宋_GB2312" w:hAnsi="宋体" w:cs="仿宋" w:hint="eastAsia"/>
          <w:sz w:val="32"/>
          <w:szCs w:val="32"/>
        </w:rPr>
        <w:t>单位报销</w:t>
      </w:r>
      <w:r w:rsidRPr="00367FD9">
        <w:rPr>
          <w:rFonts w:ascii="仿宋_GB2312" w:eastAsia="仿宋_GB2312" w:hAnsi="宋体" w:cs="仿宋" w:hint="eastAsia"/>
          <w:sz w:val="32"/>
          <w:szCs w:val="32"/>
        </w:rPr>
        <w:t>。对确因工作需要，邀请学者、专家和有关人员参加会议所发生的城市间交通费、国际旅费，可对照学校相应标准在差旅费</w:t>
      </w:r>
      <w:r>
        <w:rPr>
          <w:rFonts w:ascii="仿宋_GB2312" w:eastAsia="仿宋_GB2312" w:hAnsi="宋体" w:cs="仿宋" w:hint="eastAsia"/>
          <w:sz w:val="32"/>
          <w:szCs w:val="32"/>
        </w:rPr>
        <w:t>中列支</w:t>
      </w:r>
      <w:r w:rsidRPr="00367FD9">
        <w:rPr>
          <w:rFonts w:ascii="仿宋_GB2312" w:eastAsia="仿宋_GB2312" w:hAnsi="宋体" w:cs="仿宋" w:hint="eastAsia"/>
          <w:sz w:val="32"/>
          <w:szCs w:val="32"/>
        </w:rPr>
        <w:t>。</w:t>
      </w:r>
    </w:p>
    <w:p w14:paraId="2E3AEB23"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sidRPr="00367FD9">
        <w:rPr>
          <w:rFonts w:ascii="仿宋_GB2312" w:eastAsia="仿宋_GB2312" w:hAnsi="宋体" w:cs="仿宋" w:hint="eastAsia"/>
          <w:sz w:val="32"/>
          <w:szCs w:val="32"/>
        </w:rPr>
        <w:t>（二）</w:t>
      </w:r>
      <w:bookmarkStart w:id="5" w:name="OLE_LINK9"/>
      <w:bookmarkStart w:id="6" w:name="OLE_LINK10"/>
      <w:r w:rsidRPr="00367FD9">
        <w:rPr>
          <w:rFonts w:ascii="仿宋_GB2312" w:eastAsia="仿宋_GB2312" w:hAnsi="宋体" w:cs="仿宋" w:hint="eastAsia"/>
          <w:sz w:val="32"/>
          <w:szCs w:val="32"/>
        </w:rPr>
        <w:t>同声传译人员翻译费</w:t>
      </w:r>
      <w:bookmarkEnd w:id="5"/>
      <w:bookmarkEnd w:id="6"/>
      <w:r w:rsidRPr="00367FD9">
        <w:rPr>
          <w:rFonts w:ascii="仿宋_GB2312" w:eastAsia="仿宋_GB2312" w:hAnsi="宋体" w:cs="仿宋" w:hint="eastAsia"/>
          <w:sz w:val="32"/>
          <w:szCs w:val="32"/>
        </w:rPr>
        <w:t>、同声传译设备租金。</w:t>
      </w:r>
    </w:p>
    <w:p w14:paraId="255B6A5E"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sidRPr="00367FD9">
        <w:rPr>
          <w:rFonts w:ascii="仿宋_GB2312" w:eastAsia="仿宋_GB2312" w:hAnsi="宋体" w:cs="仿宋" w:hint="eastAsia"/>
          <w:sz w:val="32"/>
          <w:szCs w:val="32"/>
        </w:rPr>
        <w:t>（三）参会专家人员费用。会议举办者根据工作需要，可向邀请参会专家发放咨询费、讲课费、劳务费。</w:t>
      </w:r>
    </w:p>
    <w:p w14:paraId="3F0C6B05" w14:textId="77777777" w:rsidR="00DC39F1" w:rsidRPr="00F630AF" w:rsidRDefault="00DC39F1" w:rsidP="00DC39F1">
      <w:pPr>
        <w:pStyle w:val="a4"/>
        <w:numPr>
          <w:ilvl w:val="0"/>
          <w:numId w:val="1"/>
        </w:numPr>
        <w:snapToGrid w:val="0"/>
        <w:spacing w:line="360" w:lineRule="auto"/>
        <w:ind w:left="0" w:firstLineChars="0" w:firstLine="555"/>
        <w:rPr>
          <w:rFonts w:ascii="仿宋_GB2312" w:eastAsia="仿宋_GB2312" w:hAnsi="仿宋" w:cs="Arial"/>
          <w:color w:val="000000"/>
          <w:kern w:val="0"/>
          <w:sz w:val="32"/>
          <w:szCs w:val="32"/>
        </w:rPr>
      </w:pPr>
      <w:r w:rsidRPr="001E3C72">
        <w:rPr>
          <w:rFonts w:ascii="仿宋_GB2312" w:eastAsia="仿宋_GB2312" w:hAnsi="仿宋" w:cs="Arial" w:hint="eastAsia"/>
          <w:color w:val="000000"/>
          <w:kern w:val="0"/>
          <w:sz w:val="32"/>
          <w:szCs w:val="32"/>
        </w:rPr>
        <w:t>有委托其他单位承办会议事项的，应签订书面委托合同</w:t>
      </w:r>
      <w:r w:rsidRPr="00405B6F">
        <w:rPr>
          <w:rFonts w:ascii="仿宋_GB2312" w:eastAsia="仿宋_GB2312" w:hAnsi="仿宋" w:cs="Arial" w:hint="eastAsia"/>
          <w:color w:val="000000"/>
          <w:kern w:val="0"/>
          <w:sz w:val="32"/>
          <w:szCs w:val="32"/>
        </w:rPr>
        <w:t>（协议），会议费在规定标准内报销。</w:t>
      </w:r>
    </w:p>
    <w:p w14:paraId="5A72749C" w14:textId="77777777" w:rsidR="00DC39F1" w:rsidRPr="00367FD9" w:rsidRDefault="00DC39F1" w:rsidP="00DC39F1">
      <w:pPr>
        <w:pStyle w:val="a4"/>
        <w:numPr>
          <w:ilvl w:val="0"/>
          <w:numId w:val="1"/>
        </w:numPr>
        <w:snapToGrid w:val="0"/>
        <w:spacing w:line="360" w:lineRule="auto"/>
        <w:ind w:left="0" w:firstLineChars="0" w:firstLine="555"/>
        <w:rPr>
          <w:rFonts w:ascii="仿宋_GB2312" w:eastAsia="仿宋_GB2312" w:hAnsi="宋体" w:cs="仿宋"/>
          <w:sz w:val="32"/>
          <w:szCs w:val="32"/>
        </w:rPr>
      </w:pPr>
      <w:r>
        <w:rPr>
          <w:rFonts w:ascii="仿宋_GB2312" w:eastAsia="仿宋_GB2312" w:hAnsi="宋体" w:cs="仿宋" w:hint="eastAsia"/>
          <w:sz w:val="32"/>
          <w:szCs w:val="32"/>
        </w:rPr>
        <w:t>会议</w:t>
      </w:r>
      <w:r w:rsidR="00D46D2B">
        <w:rPr>
          <w:rFonts w:ascii="仿宋_GB2312" w:eastAsia="仿宋_GB2312" w:hAnsi="宋体" w:cs="仿宋" w:hint="eastAsia"/>
          <w:sz w:val="32"/>
          <w:szCs w:val="32"/>
        </w:rPr>
        <w:t>举办</w:t>
      </w:r>
      <w:r>
        <w:rPr>
          <w:rFonts w:ascii="仿宋_GB2312" w:eastAsia="仿宋_GB2312" w:hAnsi="宋体" w:cs="仿宋" w:hint="eastAsia"/>
          <w:sz w:val="32"/>
          <w:szCs w:val="32"/>
        </w:rPr>
        <w:t>者可在会议开始前办理会议费借款手续，</w:t>
      </w:r>
      <w:r w:rsidRPr="00367FD9">
        <w:rPr>
          <w:rFonts w:ascii="仿宋_GB2312" w:eastAsia="仿宋_GB2312" w:hAnsi="宋体" w:cs="仿宋" w:hint="eastAsia"/>
          <w:sz w:val="32"/>
          <w:szCs w:val="32"/>
        </w:rPr>
        <w:t>应提供：</w:t>
      </w:r>
    </w:p>
    <w:p w14:paraId="73F05DAF"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sidRPr="00367FD9">
        <w:rPr>
          <w:rFonts w:ascii="仿宋_GB2312" w:eastAsia="仿宋_GB2312" w:hAnsi="宋体" w:cs="仿宋" w:hint="eastAsia"/>
          <w:sz w:val="32"/>
          <w:szCs w:val="32"/>
        </w:rPr>
        <w:t>（一）</w:t>
      </w:r>
      <w:r>
        <w:rPr>
          <w:rFonts w:ascii="仿宋_GB2312" w:eastAsia="仿宋_GB2312" w:hAnsi="宋体" w:cs="仿宋" w:hint="eastAsia"/>
          <w:sz w:val="32"/>
          <w:szCs w:val="32"/>
        </w:rPr>
        <w:t>借款单；</w:t>
      </w:r>
    </w:p>
    <w:p w14:paraId="6746FAAF"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sidRPr="00367FD9">
        <w:rPr>
          <w:rFonts w:ascii="仿宋_GB2312" w:eastAsia="仿宋_GB2312" w:hAnsi="宋体" w:cs="仿宋" w:hint="eastAsia"/>
          <w:sz w:val="32"/>
          <w:szCs w:val="32"/>
        </w:rPr>
        <w:lastRenderedPageBreak/>
        <w:t>（二）会议通知（包含会议议程）；</w:t>
      </w:r>
    </w:p>
    <w:p w14:paraId="290BEC02"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Pr>
          <w:rFonts w:ascii="仿宋_GB2312" w:eastAsia="仿宋_GB2312" w:hAnsi="宋体" w:cs="仿宋" w:hint="eastAsia"/>
          <w:sz w:val="32"/>
          <w:szCs w:val="32"/>
        </w:rPr>
        <w:t>（三）会议审批</w:t>
      </w:r>
      <w:r w:rsidRPr="00367FD9">
        <w:rPr>
          <w:rFonts w:ascii="仿宋_GB2312" w:eastAsia="仿宋_GB2312" w:hAnsi="宋体" w:cs="仿宋" w:hint="eastAsia"/>
          <w:sz w:val="32"/>
          <w:szCs w:val="32"/>
        </w:rPr>
        <w:t>表；</w:t>
      </w:r>
    </w:p>
    <w:p w14:paraId="4969D9CC"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Pr>
          <w:rFonts w:ascii="仿宋_GB2312" w:eastAsia="仿宋_GB2312" w:hAnsi="宋体" w:cs="仿宋" w:hint="eastAsia"/>
          <w:sz w:val="32"/>
          <w:szCs w:val="32"/>
        </w:rPr>
        <w:t>（四）在华国际会议</w:t>
      </w:r>
      <w:r w:rsidRPr="00367FD9">
        <w:rPr>
          <w:rFonts w:ascii="仿宋_GB2312" w:eastAsia="仿宋_GB2312" w:hAnsi="宋体" w:cs="仿宋" w:hint="eastAsia"/>
          <w:sz w:val="32"/>
          <w:szCs w:val="32"/>
        </w:rPr>
        <w:t>需提供教育部批准办会的文件。</w:t>
      </w:r>
    </w:p>
    <w:p w14:paraId="7CD5557A" w14:textId="77777777" w:rsidR="00DC39F1" w:rsidRPr="00367FD9" w:rsidRDefault="00DC39F1" w:rsidP="00DC39F1">
      <w:pPr>
        <w:pStyle w:val="a4"/>
        <w:numPr>
          <w:ilvl w:val="0"/>
          <w:numId w:val="1"/>
        </w:numPr>
        <w:snapToGrid w:val="0"/>
        <w:spacing w:line="360" w:lineRule="auto"/>
        <w:ind w:left="0" w:firstLineChars="0" w:firstLine="555"/>
        <w:rPr>
          <w:rFonts w:ascii="仿宋_GB2312" w:eastAsia="仿宋_GB2312" w:hAnsi="宋体" w:cs="仿宋"/>
          <w:sz w:val="32"/>
          <w:szCs w:val="32"/>
        </w:rPr>
      </w:pPr>
      <w:r>
        <w:rPr>
          <w:rFonts w:ascii="仿宋_GB2312" w:eastAsia="仿宋_GB2312" w:hAnsi="仿宋" w:cs="Arial" w:hint="eastAsia"/>
          <w:color w:val="000000"/>
          <w:kern w:val="0"/>
          <w:sz w:val="32"/>
          <w:szCs w:val="32"/>
        </w:rPr>
        <w:t>各类会议</w:t>
      </w:r>
      <w:r w:rsidRPr="00405B6F">
        <w:rPr>
          <w:rFonts w:ascii="仿宋_GB2312" w:eastAsia="仿宋_GB2312" w:hAnsi="仿宋" w:cs="Arial" w:hint="eastAsia"/>
          <w:color w:val="000000"/>
          <w:kern w:val="0"/>
          <w:sz w:val="32"/>
          <w:szCs w:val="32"/>
        </w:rPr>
        <w:t>应在会议结束</w:t>
      </w:r>
      <w:r>
        <w:rPr>
          <w:rFonts w:ascii="仿宋_GB2312" w:eastAsia="仿宋_GB2312" w:hAnsi="仿宋" w:cs="Arial" w:hint="eastAsia"/>
          <w:color w:val="000000"/>
          <w:kern w:val="0"/>
          <w:sz w:val="32"/>
          <w:szCs w:val="32"/>
        </w:rPr>
        <w:t>一个月</w:t>
      </w:r>
      <w:r w:rsidRPr="00405B6F">
        <w:rPr>
          <w:rFonts w:ascii="仿宋_GB2312" w:eastAsia="仿宋_GB2312" w:hAnsi="仿宋" w:cs="Arial" w:hint="eastAsia"/>
          <w:color w:val="000000"/>
          <w:kern w:val="0"/>
          <w:sz w:val="32"/>
          <w:szCs w:val="32"/>
        </w:rPr>
        <w:t>内</w:t>
      </w:r>
      <w:r w:rsidRPr="00367FD9">
        <w:rPr>
          <w:rFonts w:ascii="仿宋_GB2312" w:eastAsia="仿宋_GB2312" w:hAnsi="宋体" w:cs="仿宋" w:hint="eastAsia"/>
          <w:sz w:val="32"/>
          <w:szCs w:val="32"/>
        </w:rPr>
        <w:t>及时汇总各项资料和票据，填写会议费报销单，统一办理报销手续。应提供：</w:t>
      </w:r>
    </w:p>
    <w:p w14:paraId="1F3D1884"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sidRPr="00367FD9">
        <w:rPr>
          <w:rFonts w:ascii="仿宋_GB2312" w:eastAsia="仿宋_GB2312" w:hAnsi="宋体" w:cs="仿宋" w:hint="eastAsia"/>
          <w:sz w:val="32"/>
          <w:szCs w:val="32"/>
        </w:rPr>
        <w:t>（一）</w:t>
      </w:r>
      <w:r>
        <w:rPr>
          <w:rFonts w:ascii="仿宋_GB2312" w:eastAsia="仿宋_GB2312" w:hAnsi="宋体" w:cs="仿宋" w:hint="eastAsia"/>
          <w:sz w:val="32"/>
          <w:szCs w:val="32"/>
        </w:rPr>
        <w:t>报销单；</w:t>
      </w:r>
    </w:p>
    <w:p w14:paraId="05E248B6"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sidRPr="00367FD9">
        <w:rPr>
          <w:rFonts w:ascii="仿宋_GB2312" w:eastAsia="仿宋_GB2312" w:hAnsi="宋体" w:cs="仿宋" w:hint="eastAsia"/>
          <w:sz w:val="32"/>
          <w:szCs w:val="32"/>
        </w:rPr>
        <w:t>（二）会议通知（包含会议议程）；</w:t>
      </w:r>
    </w:p>
    <w:p w14:paraId="550C2FE7"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sidRPr="00367FD9">
        <w:rPr>
          <w:rFonts w:ascii="仿宋_GB2312" w:eastAsia="仿宋_GB2312" w:hAnsi="宋体" w:cs="仿宋" w:hint="eastAsia"/>
          <w:sz w:val="32"/>
          <w:szCs w:val="32"/>
        </w:rPr>
        <w:t>（三）会议</w:t>
      </w:r>
      <w:r>
        <w:rPr>
          <w:rFonts w:ascii="仿宋_GB2312" w:eastAsia="仿宋_GB2312" w:hAnsi="宋体" w:cs="仿宋" w:hint="eastAsia"/>
          <w:sz w:val="32"/>
          <w:szCs w:val="32"/>
        </w:rPr>
        <w:t>审批</w:t>
      </w:r>
      <w:r w:rsidRPr="00367FD9">
        <w:rPr>
          <w:rFonts w:ascii="仿宋_GB2312" w:eastAsia="仿宋_GB2312" w:hAnsi="宋体" w:cs="仿宋" w:hint="eastAsia"/>
          <w:sz w:val="32"/>
          <w:szCs w:val="32"/>
        </w:rPr>
        <w:t>表；</w:t>
      </w:r>
    </w:p>
    <w:p w14:paraId="4F969D30"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Pr>
          <w:rFonts w:ascii="仿宋_GB2312" w:eastAsia="仿宋_GB2312" w:hAnsi="宋体" w:cs="仿宋" w:hint="eastAsia"/>
          <w:sz w:val="32"/>
          <w:szCs w:val="32"/>
        </w:rPr>
        <w:t>（四）实际参会人员签到表；</w:t>
      </w:r>
    </w:p>
    <w:p w14:paraId="60192655"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sidRPr="00367FD9">
        <w:rPr>
          <w:rFonts w:ascii="仿宋_GB2312" w:eastAsia="仿宋_GB2312" w:hAnsi="宋体" w:cs="仿宋" w:hint="eastAsia"/>
          <w:sz w:val="32"/>
          <w:szCs w:val="32"/>
        </w:rPr>
        <w:t>（五）</w:t>
      </w:r>
      <w:r>
        <w:rPr>
          <w:rFonts w:ascii="仿宋_GB2312" w:eastAsia="仿宋_GB2312" w:hAnsi="宋体" w:cs="仿宋" w:hint="eastAsia"/>
          <w:sz w:val="32"/>
          <w:szCs w:val="32"/>
        </w:rPr>
        <w:t>会议服务单位提供的费用发票、原始明细单据、电子结算单</w:t>
      </w:r>
      <w:r w:rsidRPr="0096157C">
        <w:rPr>
          <w:rFonts w:ascii="仿宋_GB2312" w:eastAsia="仿宋_GB2312" w:hAnsi="宋体" w:cs="仿宋" w:hint="eastAsia"/>
          <w:sz w:val="32"/>
          <w:szCs w:val="32"/>
        </w:rPr>
        <w:t>等资料；</w:t>
      </w:r>
      <w:r w:rsidRPr="001E3C72">
        <w:rPr>
          <w:rFonts w:ascii="仿宋_GB2312" w:eastAsia="仿宋_GB2312" w:hAnsi="仿宋" w:cs="Arial" w:hint="eastAsia"/>
          <w:color w:val="000000"/>
          <w:kern w:val="0"/>
          <w:sz w:val="32"/>
          <w:szCs w:val="32"/>
        </w:rPr>
        <w:t>委托其他单位承办会议事项的</w:t>
      </w:r>
      <w:r>
        <w:rPr>
          <w:rFonts w:ascii="仿宋_GB2312" w:eastAsia="仿宋_GB2312" w:hAnsi="仿宋" w:cs="Arial" w:hint="eastAsia"/>
          <w:color w:val="000000"/>
          <w:kern w:val="0"/>
          <w:sz w:val="32"/>
          <w:szCs w:val="32"/>
        </w:rPr>
        <w:t>，还须提供</w:t>
      </w:r>
      <w:r w:rsidRPr="0096157C">
        <w:rPr>
          <w:rFonts w:ascii="仿宋_GB2312" w:eastAsia="仿宋_GB2312" w:hAnsi="宋体" w:cs="仿宋" w:hint="eastAsia"/>
          <w:sz w:val="32"/>
          <w:szCs w:val="32"/>
        </w:rPr>
        <w:t>委托协议（合同）</w:t>
      </w:r>
      <w:r>
        <w:rPr>
          <w:rFonts w:ascii="仿宋_GB2312" w:eastAsia="仿宋_GB2312" w:hAnsi="宋体" w:cs="仿宋" w:hint="eastAsia"/>
          <w:sz w:val="32"/>
          <w:szCs w:val="32"/>
        </w:rPr>
        <w:t>等材料。</w:t>
      </w:r>
    </w:p>
    <w:p w14:paraId="3FE07A4C"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Pr>
          <w:rFonts w:ascii="仿宋_GB2312" w:eastAsia="仿宋_GB2312" w:hAnsi="宋体" w:cs="仿宋" w:hint="eastAsia"/>
          <w:sz w:val="32"/>
          <w:szCs w:val="32"/>
        </w:rPr>
        <w:t>（六</w:t>
      </w:r>
      <w:r w:rsidRPr="00367FD9">
        <w:rPr>
          <w:rFonts w:ascii="仿宋_GB2312" w:eastAsia="仿宋_GB2312" w:hAnsi="宋体" w:cs="仿宋" w:hint="eastAsia"/>
          <w:sz w:val="32"/>
          <w:szCs w:val="32"/>
        </w:rPr>
        <w:t>）</w:t>
      </w:r>
      <w:r>
        <w:rPr>
          <w:rFonts w:ascii="仿宋_GB2312" w:eastAsia="仿宋_GB2312" w:hAnsi="宋体" w:cs="仿宋" w:hint="eastAsia"/>
          <w:sz w:val="32"/>
          <w:szCs w:val="32"/>
        </w:rPr>
        <w:t>在华国际会议</w:t>
      </w:r>
      <w:r w:rsidRPr="00367FD9">
        <w:rPr>
          <w:rFonts w:ascii="仿宋_GB2312" w:eastAsia="仿宋_GB2312" w:hAnsi="宋体" w:cs="仿宋" w:hint="eastAsia"/>
          <w:sz w:val="32"/>
          <w:szCs w:val="32"/>
        </w:rPr>
        <w:t>需提供教育部批准办会的文件。</w:t>
      </w:r>
    </w:p>
    <w:p w14:paraId="21C09346" w14:textId="77777777" w:rsidR="00DC39F1" w:rsidRPr="0096157C" w:rsidRDefault="00DC39F1" w:rsidP="00DC39F1">
      <w:pPr>
        <w:pStyle w:val="a4"/>
        <w:numPr>
          <w:ilvl w:val="0"/>
          <w:numId w:val="1"/>
        </w:numPr>
        <w:snapToGrid w:val="0"/>
        <w:spacing w:line="360" w:lineRule="auto"/>
        <w:ind w:left="0" w:firstLine="640"/>
        <w:rPr>
          <w:rFonts w:ascii="仿宋_GB2312" w:eastAsia="仿宋_GB2312"/>
          <w:sz w:val="32"/>
          <w:szCs w:val="32"/>
        </w:rPr>
      </w:pPr>
      <w:r w:rsidRPr="00EB41AB">
        <w:rPr>
          <w:rFonts w:ascii="仿宋_GB2312" w:eastAsia="仿宋_GB2312" w:hint="eastAsia"/>
          <w:sz w:val="32"/>
          <w:szCs w:val="32"/>
        </w:rPr>
        <w:t>对于全部使用财政拨款举办的会议，不得再向参会人员收取费用，严禁转嫁摊派会议费。对于使用</w:t>
      </w:r>
      <w:r w:rsidR="00C70474">
        <w:rPr>
          <w:rFonts w:ascii="仿宋_GB2312" w:eastAsia="仿宋_GB2312" w:hint="eastAsia"/>
          <w:sz w:val="32"/>
          <w:szCs w:val="32"/>
        </w:rPr>
        <w:t>除财政拨款外</w:t>
      </w:r>
      <w:r w:rsidRPr="00EB41AB">
        <w:rPr>
          <w:rFonts w:ascii="仿宋_GB2312" w:eastAsia="仿宋_GB2312" w:hint="eastAsia"/>
          <w:sz w:val="32"/>
          <w:szCs w:val="32"/>
        </w:rPr>
        <w:t>多种资金</w:t>
      </w:r>
      <w:r>
        <w:rPr>
          <w:rFonts w:ascii="仿宋_GB2312" w:eastAsia="仿宋_GB2312" w:hint="eastAsia"/>
          <w:sz w:val="32"/>
          <w:szCs w:val="32"/>
        </w:rPr>
        <w:t>渠道举办的会议，按照成本补偿的原则，会议</w:t>
      </w:r>
      <w:r w:rsidR="00D46D2B">
        <w:rPr>
          <w:rFonts w:ascii="仿宋_GB2312" w:eastAsia="仿宋_GB2312" w:hint="eastAsia"/>
          <w:sz w:val="32"/>
          <w:szCs w:val="32"/>
        </w:rPr>
        <w:t>举办</w:t>
      </w:r>
      <w:r>
        <w:rPr>
          <w:rFonts w:ascii="仿宋_GB2312" w:eastAsia="仿宋_GB2312" w:hint="eastAsia"/>
          <w:sz w:val="32"/>
          <w:szCs w:val="32"/>
        </w:rPr>
        <w:t>者</w:t>
      </w:r>
      <w:r w:rsidRPr="00EB41AB">
        <w:rPr>
          <w:rFonts w:ascii="仿宋_GB2312" w:eastAsia="仿宋_GB2312" w:hint="eastAsia"/>
          <w:sz w:val="32"/>
          <w:szCs w:val="32"/>
        </w:rPr>
        <w:t>可不以盈利为目的，适当向参会人员收取会议费，收取会议费的标准在</w:t>
      </w:r>
      <w:r w:rsidRPr="00EB41AB">
        <w:rPr>
          <w:rFonts w:ascii="仿宋_GB2312" w:eastAsia="仿宋_GB2312" w:hAnsi="宋体" w:cs="仿宋" w:hint="eastAsia"/>
          <w:sz w:val="32"/>
          <w:szCs w:val="32"/>
        </w:rPr>
        <w:t>会议费预</w:t>
      </w:r>
      <w:r w:rsidRPr="0096157C">
        <w:rPr>
          <w:rFonts w:ascii="仿宋_GB2312" w:eastAsia="仿宋_GB2312" w:hint="eastAsia"/>
          <w:sz w:val="32"/>
          <w:szCs w:val="32"/>
        </w:rPr>
        <w:t>算表内披露，</w:t>
      </w:r>
      <w:r>
        <w:rPr>
          <w:rFonts w:ascii="仿宋_GB2312" w:eastAsia="仿宋_GB2312" w:hint="eastAsia"/>
          <w:sz w:val="32"/>
          <w:szCs w:val="32"/>
        </w:rPr>
        <w:t>由会议</w:t>
      </w:r>
      <w:r w:rsidR="00D46D2B">
        <w:rPr>
          <w:rFonts w:ascii="仿宋_GB2312" w:eastAsia="仿宋_GB2312" w:hint="eastAsia"/>
          <w:sz w:val="32"/>
          <w:szCs w:val="32"/>
        </w:rPr>
        <w:t>举办</w:t>
      </w:r>
      <w:r w:rsidRPr="00EB41AB">
        <w:rPr>
          <w:rFonts w:ascii="仿宋_GB2312" w:eastAsia="仿宋_GB2312" w:hint="eastAsia"/>
          <w:sz w:val="32"/>
          <w:szCs w:val="32"/>
        </w:rPr>
        <w:t>者所在二级单位</w:t>
      </w:r>
      <w:r>
        <w:rPr>
          <w:rFonts w:ascii="仿宋_GB2312" w:eastAsia="仿宋_GB2312" w:hint="eastAsia"/>
          <w:sz w:val="32"/>
          <w:szCs w:val="32"/>
        </w:rPr>
        <w:t>（及项目管理单位）</w:t>
      </w:r>
      <w:r w:rsidRPr="00EB41AB">
        <w:rPr>
          <w:rFonts w:ascii="仿宋_GB2312" w:eastAsia="仿宋_GB2312" w:hint="eastAsia"/>
          <w:sz w:val="32"/>
          <w:szCs w:val="32"/>
        </w:rPr>
        <w:t>审批确定。</w:t>
      </w:r>
      <w:r w:rsidRPr="0096157C">
        <w:rPr>
          <w:rFonts w:ascii="仿宋_GB2312" w:eastAsia="仿宋_GB2312" w:hint="eastAsia"/>
          <w:sz w:val="32"/>
          <w:szCs w:val="32"/>
        </w:rPr>
        <w:t>会议各项收入应上交学校统一管理，专款专用。</w:t>
      </w:r>
    </w:p>
    <w:p w14:paraId="73DE99DA" w14:textId="77777777" w:rsidR="00DC39F1" w:rsidRPr="00367FD9" w:rsidRDefault="00DC39F1" w:rsidP="00DC39F1">
      <w:pPr>
        <w:pStyle w:val="a4"/>
        <w:numPr>
          <w:ilvl w:val="0"/>
          <w:numId w:val="1"/>
        </w:numPr>
        <w:snapToGrid w:val="0"/>
        <w:spacing w:line="360" w:lineRule="auto"/>
        <w:ind w:left="0" w:firstLine="640"/>
        <w:rPr>
          <w:rFonts w:ascii="仿宋_GB2312" w:eastAsia="仿宋_GB2312" w:hAnsi="宋体" w:cs="仿宋"/>
          <w:sz w:val="32"/>
          <w:szCs w:val="32"/>
        </w:rPr>
      </w:pPr>
      <w:r>
        <w:rPr>
          <w:rFonts w:ascii="仿宋_GB2312" w:eastAsia="仿宋_GB2312" w:hAnsi="宋体" w:cs="仿宋" w:hint="eastAsia"/>
          <w:sz w:val="32"/>
          <w:szCs w:val="32"/>
        </w:rPr>
        <w:t>严禁</w:t>
      </w:r>
      <w:r w:rsidRPr="00367FD9">
        <w:rPr>
          <w:rFonts w:ascii="仿宋_GB2312" w:eastAsia="仿宋_GB2312" w:hAnsi="宋体" w:cs="仿宋" w:hint="eastAsia"/>
          <w:sz w:val="32"/>
          <w:szCs w:val="32"/>
        </w:rPr>
        <w:t>借会议名义组织会餐或安排宴请；严禁</w:t>
      </w:r>
      <w:r w:rsidRPr="00367FD9">
        <w:rPr>
          <w:rFonts w:ascii="仿宋_GB2312" w:eastAsia="仿宋_GB2312" w:hAnsi="宋体" w:cs="仿宋" w:hint="eastAsia"/>
          <w:sz w:val="32"/>
          <w:szCs w:val="32"/>
        </w:rPr>
        <w:lastRenderedPageBreak/>
        <w:t>预存、套取会议费设立“小金库”；严禁在会议费中列支公务接待费。办会不得安排高档套房；会议用餐严禁提供高档菜肴，不上烟酒。国内管理会议会场不制作背景板，不提供水果和茶歇。</w:t>
      </w:r>
    </w:p>
    <w:p w14:paraId="3DC12D97" w14:textId="77777777" w:rsidR="00DC39F1" w:rsidRPr="00367FD9" w:rsidRDefault="00DC39F1" w:rsidP="00DC39F1">
      <w:pPr>
        <w:pStyle w:val="a4"/>
        <w:numPr>
          <w:ilvl w:val="0"/>
          <w:numId w:val="1"/>
        </w:numPr>
        <w:snapToGrid w:val="0"/>
        <w:spacing w:line="360" w:lineRule="auto"/>
        <w:ind w:left="0" w:firstLine="640"/>
        <w:rPr>
          <w:rFonts w:ascii="仿宋_GB2312" w:eastAsia="仿宋_GB2312" w:hAnsi="宋体" w:cs="仿宋"/>
          <w:sz w:val="32"/>
          <w:szCs w:val="32"/>
        </w:rPr>
      </w:pPr>
      <w:r w:rsidRPr="00367FD9">
        <w:rPr>
          <w:rFonts w:ascii="仿宋_GB2312" w:eastAsia="仿宋_GB2312" w:hAnsi="宋体" w:cs="仿宋" w:hint="eastAsia"/>
          <w:sz w:val="32"/>
          <w:szCs w:val="32"/>
        </w:rPr>
        <w:t>不得使用会议费购置电脑、复印机、打印机、传真机等固定资产以及开支与本次会议无关的其他费用；不得组织会议代表旅游和与会议无关的参观；严禁组织高消费</w:t>
      </w:r>
      <w:r>
        <w:rPr>
          <w:rFonts w:ascii="仿宋_GB2312" w:eastAsia="仿宋_GB2312" w:hAnsi="宋体" w:cs="仿宋" w:hint="eastAsia"/>
          <w:sz w:val="32"/>
          <w:szCs w:val="32"/>
        </w:rPr>
        <w:t>娱乐、健身活动；严禁以任何名义发放纪念品。</w:t>
      </w:r>
    </w:p>
    <w:p w14:paraId="36FEDB30" w14:textId="77777777" w:rsidR="00DC39F1" w:rsidRPr="008B3604" w:rsidRDefault="00DC39F1" w:rsidP="00DC39F1">
      <w:pPr>
        <w:pStyle w:val="a4"/>
        <w:numPr>
          <w:ilvl w:val="0"/>
          <w:numId w:val="1"/>
        </w:numPr>
        <w:snapToGrid w:val="0"/>
        <w:spacing w:line="360" w:lineRule="auto"/>
        <w:ind w:left="0" w:firstLine="640"/>
        <w:rPr>
          <w:rFonts w:ascii="仿宋_GB2312" w:eastAsia="仿宋_GB2312" w:hAnsi="宋体" w:cs="仿宋"/>
          <w:b/>
          <w:sz w:val="32"/>
          <w:szCs w:val="32"/>
        </w:rPr>
      </w:pPr>
      <w:r w:rsidRPr="00367FD9">
        <w:rPr>
          <w:rFonts w:ascii="仿宋_GB2312" w:eastAsia="仿宋_GB2312" w:hAnsi="宋体" w:cs="仿宋" w:hint="eastAsia"/>
          <w:sz w:val="32"/>
          <w:szCs w:val="32"/>
        </w:rPr>
        <w:t>各二级单位应当加强对本单位会议举办活动和经费报销的内控管理，</w:t>
      </w:r>
      <w:r w:rsidRPr="00367FD9">
        <w:rPr>
          <w:rFonts w:ascii="仿宋_GB2312" w:eastAsia="仿宋_GB2312" w:hAnsi="仿宋" w:cs="仿宋" w:hint="eastAsia"/>
          <w:sz w:val="32"/>
          <w:szCs w:val="32"/>
        </w:rPr>
        <w:t>对违反会议费管理制度的人员进行严肃处理，自觉接受学校有关部门对会议举办活动及相关经费支出的监督检查。</w:t>
      </w:r>
    </w:p>
    <w:p w14:paraId="6A2B9867" w14:textId="77777777" w:rsidR="00DC39F1" w:rsidRPr="00367FD9" w:rsidRDefault="00DC39F1" w:rsidP="00DC39F1">
      <w:pPr>
        <w:pStyle w:val="a4"/>
        <w:numPr>
          <w:ilvl w:val="0"/>
          <w:numId w:val="1"/>
        </w:numPr>
        <w:snapToGrid w:val="0"/>
        <w:spacing w:line="360" w:lineRule="auto"/>
        <w:ind w:left="0" w:firstLine="640"/>
        <w:rPr>
          <w:rFonts w:ascii="仿宋_GB2312" w:eastAsia="仿宋_GB2312" w:hAnsi="宋体" w:cs="仿宋"/>
          <w:sz w:val="32"/>
          <w:szCs w:val="32"/>
        </w:rPr>
      </w:pPr>
      <w:r>
        <w:rPr>
          <w:rFonts w:ascii="仿宋_GB2312" w:eastAsia="仿宋_GB2312" w:hAnsi="宋体" w:cs="仿宋" w:hint="eastAsia"/>
          <w:sz w:val="32"/>
          <w:szCs w:val="32"/>
        </w:rPr>
        <w:t>会议</w:t>
      </w:r>
      <w:r w:rsidR="00D46D2B">
        <w:rPr>
          <w:rFonts w:ascii="仿宋_GB2312" w:eastAsia="仿宋_GB2312" w:hAnsi="宋体" w:cs="仿宋" w:hint="eastAsia"/>
          <w:sz w:val="32"/>
          <w:szCs w:val="32"/>
        </w:rPr>
        <w:t>举办</w:t>
      </w:r>
      <w:r>
        <w:rPr>
          <w:rFonts w:ascii="仿宋_GB2312" w:eastAsia="仿宋_GB2312" w:hAnsi="宋体" w:cs="仿宋" w:hint="eastAsia"/>
          <w:sz w:val="32"/>
          <w:szCs w:val="32"/>
        </w:rPr>
        <w:t>者和经办人员违反本办法规定，有下列行为之一的，依照有关法律法规和学校规定</w:t>
      </w:r>
      <w:r w:rsidRPr="00367FD9">
        <w:rPr>
          <w:rFonts w:ascii="仿宋_GB2312" w:eastAsia="仿宋_GB2312" w:hAnsi="宋体" w:cs="仿宋" w:hint="eastAsia"/>
          <w:sz w:val="32"/>
          <w:szCs w:val="32"/>
        </w:rPr>
        <w:t>追究相关人员的责任，同时报纪检监察部门进行处理。涉嫌违法的，移送司法机关处理。</w:t>
      </w:r>
    </w:p>
    <w:p w14:paraId="25828AB3"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sidRPr="00367FD9">
        <w:rPr>
          <w:rFonts w:ascii="仿宋_GB2312" w:eastAsia="仿宋_GB2312" w:hAnsi="宋体" w:cs="仿宋" w:hint="eastAsia"/>
          <w:sz w:val="32"/>
          <w:szCs w:val="32"/>
        </w:rPr>
        <w:t>（一）预存、套取会议费设立“小金库”的；</w:t>
      </w:r>
    </w:p>
    <w:p w14:paraId="1C0FC25B"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sidRPr="00367FD9">
        <w:rPr>
          <w:rFonts w:ascii="仿宋_GB2312" w:eastAsia="仿宋_GB2312" w:hAnsi="宋体" w:cs="仿宋" w:hint="eastAsia"/>
          <w:sz w:val="32"/>
          <w:szCs w:val="32"/>
        </w:rPr>
        <w:t>（二）以虚报会议人数、天数等手段骗取会议费的；</w:t>
      </w:r>
    </w:p>
    <w:p w14:paraId="239FE1EB"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sidRPr="00367FD9">
        <w:rPr>
          <w:rFonts w:ascii="仿宋_GB2312" w:eastAsia="仿宋_GB2312" w:hAnsi="宋体" w:cs="仿宋" w:hint="eastAsia"/>
          <w:sz w:val="32"/>
          <w:szCs w:val="32"/>
        </w:rPr>
        <w:t>（三）违规扩大会议费开支范围，擅自提高会议费开支标准的；</w:t>
      </w:r>
    </w:p>
    <w:p w14:paraId="47AACB70"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sidRPr="00367FD9">
        <w:rPr>
          <w:rFonts w:ascii="仿宋_GB2312" w:eastAsia="仿宋_GB2312" w:hAnsi="宋体" w:cs="仿宋" w:hint="eastAsia"/>
          <w:sz w:val="32"/>
          <w:szCs w:val="32"/>
        </w:rPr>
        <w:t>（四）违规报销与会议无关费用的；</w:t>
      </w:r>
    </w:p>
    <w:p w14:paraId="7E4B6412" w14:textId="77777777" w:rsidR="00DC39F1" w:rsidRPr="00367FD9" w:rsidRDefault="00DC39F1" w:rsidP="00DC39F1">
      <w:pPr>
        <w:snapToGrid w:val="0"/>
        <w:spacing w:line="360" w:lineRule="auto"/>
        <w:ind w:firstLineChars="200" w:firstLine="640"/>
        <w:rPr>
          <w:rFonts w:ascii="仿宋_GB2312" w:eastAsia="仿宋_GB2312" w:hAnsi="宋体" w:cs="仿宋"/>
          <w:sz w:val="32"/>
          <w:szCs w:val="32"/>
        </w:rPr>
      </w:pPr>
      <w:r w:rsidRPr="00367FD9">
        <w:rPr>
          <w:rFonts w:ascii="仿宋_GB2312" w:eastAsia="仿宋_GB2312" w:hAnsi="宋体" w:cs="仿宋" w:hint="eastAsia"/>
          <w:sz w:val="32"/>
          <w:szCs w:val="32"/>
        </w:rPr>
        <w:t>（五）其他违反本办法规定的。</w:t>
      </w:r>
    </w:p>
    <w:p w14:paraId="2D4B0552" w14:textId="77777777" w:rsidR="00DC39F1" w:rsidRPr="00367FD9" w:rsidRDefault="00DC39F1" w:rsidP="00DC39F1">
      <w:pPr>
        <w:pStyle w:val="a4"/>
        <w:numPr>
          <w:ilvl w:val="0"/>
          <w:numId w:val="1"/>
        </w:numPr>
        <w:snapToGrid w:val="0"/>
        <w:spacing w:line="360" w:lineRule="auto"/>
        <w:ind w:left="0" w:firstLine="640"/>
        <w:rPr>
          <w:rFonts w:ascii="仿宋_GB2312" w:eastAsia="仿宋_GB2312" w:hAnsi="宋体" w:cs="仿宋"/>
          <w:sz w:val="32"/>
          <w:szCs w:val="32"/>
        </w:rPr>
      </w:pPr>
      <w:r w:rsidRPr="00367FD9">
        <w:rPr>
          <w:rFonts w:ascii="仿宋_GB2312" w:eastAsia="仿宋_GB2312" w:hAnsi="宋体" w:cs="仿宋" w:hint="eastAsia"/>
          <w:sz w:val="32"/>
          <w:szCs w:val="32"/>
        </w:rPr>
        <w:lastRenderedPageBreak/>
        <w:t>本办法由财务</w:t>
      </w:r>
      <w:r>
        <w:rPr>
          <w:rFonts w:ascii="仿宋_GB2312" w:eastAsia="仿宋_GB2312" w:hAnsi="宋体" w:cs="仿宋" w:hint="eastAsia"/>
          <w:sz w:val="32"/>
          <w:szCs w:val="32"/>
        </w:rPr>
        <w:t>处</w:t>
      </w:r>
      <w:r w:rsidRPr="00367FD9">
        <w:rPr>
          <w:rFonts w:ascii="仿宋_GB2312" w:eastAsia="仿宋_GB2312" w:hAnsi="宋体" w:cs="仿宋" w:hint="eastAsia"/>
          <w:sz w:val="32"/>
          <w:szCs w:val="32"/>
        </w:rPr>
        <w:t>负责解释。</w:t>
      </w:r>
    </w:p>
    <w:p w14:paraId="3217DB27" w14:textId="786719CE" w:rsidR="00DC39F1" w:rsidRPr="008B3604" w:rsidRDefault="00DC39F1" w:rsidP="00DC39F1">
      <w:pPr>
        <w:pStyle w:val="a4"/>
        <w:numPr>
          <w:ilvl w:val="0"/>
          <w:numId w:val="1"/>
        </w:numPr>
        <w:snapToGrid w:val="0"/>
        <w:spacing w:line="360" w:lineRule="auto"/>
        <w:ind w:left="0" w:firstLine="640"/>
        <w:rPr>
          <w:rFonts w:ascii="仿宋_GB2312" w:eastAsia="仿宋_GB2312" w:hAnsi="宋体" w:cs="仿宋"/>
          <w:sz w:val="32"/>
          <w:szCs w:val="32"/>
        </w:rPr>
      </w:pPr>
      <w:r w:rsidRPr="008B3604">
        <w:rPr>
          <w:rFonts w:ascii="仿宋_GB2312" w:eastAsia="仿宋_GB2312" w:hAnsi="宋体" w:cs="仿宋" w:hint="eastAsia"/>
          <w:sz w:val="32"/>
          <w:szCs w:val="32"/>
        </w:rPr>
        <w:t>本办法经</w:t>
      </w:r>
      <w:r w:rsidRPr="00DD68BA">
        <w:rPr>
          <w:rFonts w:ascii="仿宋_GB2312" w:eastAsia="仿宋_GB2312" w:hAnsi="宋体" w:cs="仿宋" w:hint="eastAsia"/>
          <w:sz w:val="32"/>
          <w:szCs w:val="32"/>
        </w:rPr>
        <w:t>2016年</w:t>
      </w:r>
      <w:r w:rsidR="00DD68BA" w:rsidRPr="00DD68BA">
        <w:rPr>
          <w:rFonts w:ascii="仿宋_GB2312" w:eastAsia="仿宋_GB2312" w:hAnsi="宋体" w:cs="仿宋" w:hint="eastAsia"/>
          <w:sz w:val="32"/>
          <w:szCs w:val="32"/>
        </w:rPr>
        <w:t>8</w:t>
      </w:r>
      <w:r w:rsidRPr="00DD68BA">
        <w:rPr>
          <w:rFonts w:ascii="仿宋_GB2312" w:eastAsia="仿宋_GB2312" w:hAnsi="宋体" w:cs="仿宋" w:hint="eastAsia"/>
          <w:sz w:val="32"/>
          <w:szCs w:val="32"/>
        </w:rPr>
        <w:t>月第</w:t>
      </w:r>
      <w:r w:rsidR="00BB1A9E">
        <w:rPr>
          <w:rFonts w:ascii="仿宋_GB2312" w:eastAsia="仿宋_GB2312" w:hAnsi="宋体" w:cs="仿宋" w:hint="eastAsia"/>
          <w:sz w:val="32"/>
          <w:szCs w:val="32"/>
        </w:rPr>
        <w:t>3</w:t>
      </w:r>
      <w:r w:rsidR="00BB1A9E">
        <w:rPr>
          <w:rFonts w:ascii="仿宋_GB2312" w:eastAsia="仿宋_GB2312" w:hAnsi="宋体" w:cs="仿宋" w:hint="eastAsia"/>
          <w:sz w:val="32"/>
          <w:szCs w:val="32"/>
        </w:rPr>
        <w:t>4</w:t>
      </w:r>
      <w:r w:rsidR="00716331">
        <w:rPr>
          <w:rFonts w:ascii="仿宋_GB2312" w:eastAsia="仿宋_GB2312" w:hAnsi="宋体" w:cs="仿宋" w:hint="eastAsia"/>
          <w:sz w:val="32"/>
          <w:szCs w:val="32"/>
        </w:rPr>
        <w:t>次校务会</w:t>
      </w:r>
      <w:r w:rsidRPr="00367FD9">
        <w:rPr>
          <w:rFonts w:ascii="仿宋_GB2312" w:eastAsia="仿宋_GB2312" w:hAnsi="宋体" w:cs="仿宋" w:hint="eastAsia"/>
          <w:sz w:val="32"/>
          <w:szCs w:val="32"/>
        </w:rPr>
        <w:t>通过，自通过之日起执行</w:t>
      </w:r>
    </w:p>
    <w:p w14:paraId="583F4221" w14:textId="77777777" w:rsidR="002D18BF" w:rsidRPr="00DC39F1" w:rsidRDefault="002D18BF">
      <w:bookmarkStart w:id="7" w:name="_GoBack"/>
      <w:bookmarkEnd w:id="7"/>
    </w:p>
    <w:sectPr w:rsidR="002D18BF" w:rsidRPr="00DC39F1" w:rsidSect="007A065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9ACB0" w14:textId="77777777" w:rsidR="002A5208" w:rsidRDefault="002A5208">
      <w:r>
        <w:separator/>
      </w:r>
    </w:p>
  </w:endnote>
  <w:endnote w:type="continuationSeparator" w:id="0">
    <w:p w14:paraId="51526F32" w14:textId="77777777" w:rsidR="002A5208" w:rsidRDefault="002A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876990"/>
      <w:docPartObj>
        <w:docPartGallery w:val="Page Numbers (Bottom of Page)"/>
        <w:docPartUnique/>
      </w:docPartObj>
    </w:sdtPr>
    <w:sdtEndPr/>
    <w:sdtContent>
      <w:p w14:paraId="4E90FD8E" w14:textId="77777777" w:rsidR="003E35B3" w:rsidRDefault="007A0654">
        <w:pPr>
          <w:pStyle w:val="a3"/>
          <w:jc w:val="center"/>
        </w:pPr>
        <w:r>
          <w:fldChar w:fldCharType="begin"/>
        </w:r>
        <w:r w:rsidR="00DC39F1">
          <w:instrText>PAGE   \* MERGEFORMAT</w:instrText>
        </w:r>
        <w:r>
          <w:fldChar w:fldCharType="separate"/>
        </w:r>
        <w:r w:rsidR="00BB1A9E" w:rsidRPr="00BB1A9E">
          <w:rPr>
            <w:noProof/>
            <w:lang w:val="zh-CN"/>
          </w:rPr>
          <w:t>6</w:t>
        </w:r>
        <w:r>
          <w:fldChar w:fldCharType="end"/>
        </w:r>
      </w:p>
    </w:sdtContent>
  </w:sdt>
  <w:p w14:paraId="2B5C0508" w14:textId="77777777" w:rsidR="003E35B3" w:rsidRDefault="002A52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6053D" w14:textId="77777777" w:rsidR="002A5208" w:rsidRDefault="002A5208">
      <w:r>
        <w:separator/>
      </w:r>
    </w:p>
  </w:footnote>
  <w:footnote w:type="continuationSeparator" w:id="0">
    <w:p w14:paraId="48EF40CB" w14:textId="77777777" w:rsidR="002A5208" w:rsidRDefault="002A5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68D2"/>
    <w:multiLevelType w:val="hybridMultilevel"/>
    <w:tmpl w:val="65C6E0EE"/>
    <w:lvl w:ilvl="0" w:tplc="C6D0C54A">
      <w:start w:val="1"/>
      <w:numFmt w:val="chineseCountingThousand"/>
      <w:lvlText w:val="第%1条"/>
      <w:lvlJc w:val="left"/>
      <w:pPr>
        <w:ind w:left="975" w:hanging="420"/>
      </w:pPr>
      <w:rPr>
        <w:rFonts w:hint="eastAsia"/>
        <w:b/>
        <w:i w:val="0"/>
        <w:lang w:val="en-US"/>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39F1"/>
    <w:rsid w:val="00011EAF"/>
    <w:rsid w:val="00012472"/>
    <w:rsid w:val="0001555E"/>
    <w:rsid w:val="00015D71"/>
    <w:rsid w:val="00025C44"/>
    <w:rsid w:val="00026874"/>
    <w:rsid w:val="00030D6B"/>
    <w:rsid w:val="000311BD"/>
    <w:rsid w:val="00031795"/>
    <w:rsid w:val="00032AB8"/>
    <w:rsid w:val="000411F1"/>
    <w:rsid w:val="000457CE"/>
    <w:rsid w:val="00045F8D"/>
    <w:rsid w:val="00050353"/>
    <w:rsid w:val="000537A1"/>
    <w:rsid w:val="00054A47"/>
    <w:rsid w:val="00056521"/>
    <w:rsid w:val="00060791"/>
    <w:rsid w:val="00060FE0"/>
    <w:rsid w:val="000627F9"/>
    <w:rsid w:val="00063DA1"/>
    <w:rsid w:val="000715EB"/>
    <w:rsid w:val="00071969"/>
    <w:rsid w:val="000825AB"/>
    <w:rsid w:val="00095AE3"/>
    <w:rsid w:val="000A095A"/>
    <w:rsid w:val="000A19A1"/>
    <w:rsid w:val="000A6B4A"/>
    <w:rsid w:val="000B212F"/>
    <w:rsid w:val="000C0CF2"/>
    <w:rsid w:val="000C0DAB"/>
    <w:rsid w:val="000C1882"/>
    <w:rsid w:val="000C5AE4"/>
    <w:rsid w:val="000C6F80"/>
    <w:rsid w:val="000D21A3"/>
    <w:rsid w:val="000D2A46"/>
    <w:rsid w:val="000D7550"/>
    <w:rsid w:val="000E062B"/>
    <w:rsid w:val="000E2CBC"/>
    <w:rsid w:val="000E3165"/>
    <w:rsid w:val="000E3C35"/>
    <w:rsid w:val="000E6C43"/>
    <w:rsid w:val="000F50D5"/>
    <w:rsid w:val="000F6AB6"/>
    <w:rsid w:val="000F79AF"/>
    <w:rsid w:val="00100384"/>
    <w:rsid w:val="00101604"/>
    <w:rsid w:val="00107619"/>
    <w:rsid w:val="00113D49"/>
    <w:rsid w:val="00115283"/>
    <w:rsid w:val="00116F88"/>
    <w:rsid w:val="001219BA"/>
    <w:rsid w:val="00124C05"/>
    <w:rsid w:val="00125447"/>
    <w:rsid w:val="00125C6A"/>
    <w:rsid w:val="00125F44"/>
    <w:rsid w:val="00142224"/>
    <w:rsid w:val="00144C38"/>
    <w:rsid w:val="00150ADE"/>
    <w:rsid w:val="001512E7"/>
    <w:rsid w:val="00151DEB"/>
    <w:rsid w:val="001550A7"/>
    <w:rsid w:val="00155FE1"/>
    <w:rsid w:val="00165C8F"/>
    <w:rsid w:val="00167A7A"/>
    <w:rsid w:val="00180DEF"/>
    <w:rsid w:val="001812FD"/>
    <w:rsid w:val="00184B06"/>
    <w:rsid w:val="00185557"/>
    <w:rsid w:val="0018655A"/>
    <w:rsid w:val="00190347"/>
    <w:rsid w:val="001A0100"/>
    <w:rsid w:val="001A0D60"/>
    <w:rsid w:val="001A5C4A"/>
    <w:rsid w:val="001B08D6"/>
    <w:rsid w:val="001B3F35"/>
    <w:rsid w:val="001C0C7B"/>
    <w:rsid w:val="001C2783"/>
    <w:rsid w:val="001C4E13"/>
    <w:rsid w:val="001C50DE"/>
    <w:rsid w:val="001D2FBC"/>
    <w:rsid w:val="001D4EF0"/>
    <w:rsid w:val="001D50EF"/>
    <w:rsid w:val="001D62E4"/>
    <w:rsid w:val="001E1282"/>
    <w:rsid w:val="001E143B"/>
    <w:rsid w:val="001E24AD"/>
    <w:rsid w:val="001E553D"/>
    <w:rsid w:val="001E555B"/>
    <w:rsid w:val="001E61CD"/>
    <w:rsid w:val="001F48BC"/>
    <w:rsid w:val="00203E74"/>
    <w:rsid w:val="00204205"/>
    <w:rsid w:val="00204B99"/>
    <w:rsid w:val="00210AB0"/>
    <w:rsid w:val="002127F8"/>
    <w:rsid w:val="002147CF"/>
    <w:rsid w:val="002247E4"/>
    <w:rsid w:val="00224A6E"/>
    <w:rsid w:val="0023562A"/>
    <w:rsid w:val="0024770D"/>
    <w:rsid w:val="00250338"/>
    <w:rsid w:val="002523DF"/>
    <w:rsid w:val="00252A88"/>
    <w:rsid w:val="0026019C"/>
    <w:rsid w:val="00262414"/>
    <w:rsid w:val="00271F81"/>
    <w:rsid w:val="00274C54"/>
    <w:rsid w:val="0027694E"/>
    <w:rsid w:val="00276A1B"/>
    <w:rsid w:val="0027703A"/>
    <w:rsid w:val="00280040"/>
    <w:rsid w:val="00280630"/>
    <w:rsid w:val="00282ED5"/>
    <w:rsid w:val="002833F9"/>
    <w:rsid w:val="00291441"/>
    <w:rsid w:val="00292279"/>
    <w:rsid w:val="00294534"/>
    <w:rsid w:val="00295B8F"/>
    <w:rsid w:val="00296ADD"/>
    <w:rsid w:val="0029759F"/>
    <w:rsid w:val="002A5208"/>
    <w:rsid w:val="002A6FDD"/>
    <w:rsid w:val="002A749B"/>
    <w:rsid w:val="002B1AC7"/>
    <w:rsid w:val="002D18BF"/>
    <w:rsid w:val="002E4388"/>
    <w:rsid w:val="002F119F"/>
    <w:rsid w:val="002F5B64"/>
    <w:rsid w:val="002F7958"/>
    <w:rsid w:val="00301A00"/>
    <w:rsid w:val="00302628"/>
    <w:rsid w:val="003050B4"/>
    <w:rsid w:val="00307492"/>
    <w:rsid w:val="00312996"/>
    <w:rsid w:val="00316585"/>
    <w:rsid w:val="00321A88"/>
    <w:rsid w:val="00323D6F"/>
    <w:rsid w:val="0032415A"/>
    <w:rsid w:val="00325485"/>
    <w:rsid w:val="00330813"/>
    <w:rsid w:val="003424B6"/>
    <w:rsid w:val="00344879"/>
    <w:rsid w:val="00347C7E"/>
    <w:rsid w:val="00352858"/>
    <w:rsid w:val="0035524F"/>
    <w:rsid w:val="00355C4A"/>
    <w:rsid w:val="00360811"/>
    <w:rsid w:val="00363825"/>
    <w:rsid w:val="0036434C"/>
    <w:rsid w:val="00367A45"/>
    <w:rsid w:val="00367D0A"/>
    <w:rsid w:val="003727DC"/>
    <w:rsid w:val="00377072"/>
    <w:rsid w:val="00377865"/>
    <w:rsid w:val="00382C12"/>
    <w:rsid w:val="003835EC"/>
    <w:rsid w:val="00383D74"/>
    <w:rsid w:val="00386C42"/>
    <w:rsid w:val="00391064"/>
    <w:rsid w:val="0039286E"/>
    <w:rsid w:val="00395ED4"/>
    <w:rsid w:val="003A0FF2"/>
    <w:rsid w:val="003A2E1A"/>
    <w:rsid w:val="003A75BE"/>
    <w:rsid w:val="003B080F"/>
    <w:rsid w:val="003B095E"/>
    <w:rsid w:val="003B687A"/>
    <w:rsid w:val="003B70D0"/>
    <w:rsid w:val="003C1369"/>
    <w:rsid w:val="003C1AAF"/>
    <w:rsid w:val="003C246E"/>
    <w:rsid w:val="003C3819"/>
    <w:rsid w:val="003D428C"/>
    <w:rsid w:val="003D702F"/>
    <w:rsid w:val="003D7DBA"/>
    <w:rsid w:val="003E3BCE"/>
    <w:rsid w:val="003E4508"/>
    <w:rsid w:val="003F3457"/>
    <w:rsid w:val="003F3B2B"/>
    <w:rsid w:val="00402DBF"/>
    <w:rsid w:val="00403300"/>
    <w:rsid w:val="00404CD9"/>
    <w:rsid w:val="00405EFB"/>
    <w:rsid w:val="00407AAF"/>
    <w:rsid w:val="00407EAE"/>
    <w:rsid w:val="004107F3"/>
    <w:rsid w:val="004154D8"/>
    <w:rsid w:val="00420EF8"/>
    <w:rsid w:val="004224E4"/>
    <w:rsid w:val="0043314A"/>
    <w:rsid w:val="004332C1"/>
    <w:rsid w:val="00441180"/>
    <w:rsid w:val="00445F8C"/>
    <w:rsid w:val="00461B89"/>
    <w:rsid w:val="00463030"/>
    <w:rsid w:val="00463F9D"/>
    <w:rsid w:val="00465A99"/>
    <w:rsid w:val="00471BE5"/>
    <w:rsid w:val="004759E4"/>
    <w:rsid w:val="00480C0E"/>
    <w:rsid w:val="00486A85"/>
    <w:rsid w:val="00487D10"/>
    <w:rsid w:val="00490BF9"/>
    <w:rsid w:val="00495B9D"/>
    <w:rsid w:val="004A73BF"/>
    <w:rsid w:val="004B3B9E"/>
    <w:rsid w:val="004C0945"/>
    <w:rsid w:val="004C0D5C"/>
    <w:rsid w:val="004C4653"/>
    <w:rsid w:val="004D2F87"/>
    <w:rsid w:val="004D3476"/>
    <w:rsid w:val="004D4825"/>
    <w:rsid w:val="004E2B41"/>
    <w:rsid w:val="004F2DCC"/>
    <w:rsid w:val="005013A6"/>
    <w:rsid w:val="00501472"/>
    <w:rsid w:val="0050296C"/>
    <w:rsid w:val="00504260"/>
    <w:rsid w:val="00514768"/>
    <w:rsid w:val="00514773"/>
    <w:rsid w:val="00516A45"/>
    <w:rsid w:val="00517FE5"/>
    <w:rsid w:val="00520C48"/>
    <w:rsid w:val="00523EB2"/>
    <w:rsid w:val="00524702"/>
    <w:rsid w:val="005276B6"/>
    <w:rsid w:val="00536E5A"/>
    <w:rsid w:val="005402F3"/>
    <w:rsid w:val="00546047"/>
    <w:rsid w:val="00555AFF"/>
    <w:rsid w:val="005576BC"/>
    <w:rsid w:val="005610A5"/>
    <w:rsid w:val="0056374E"/>
    <w:rsid w:val="00563DCB"/>
    <w:rsid w:val="00565EF8"/>
    <w:rsid w:val="00575405"/>
    <w:rsid w:val="005763D4"/>
    <w:rsid w:val="00581543"/>
    <w:rsid w:val="00582682"/>
    <w:rsid w:val="00584984"/>
    <w:rsid w:val="00585C25"/>
    <w:rsid w:val="00586C3C"/>
    <w:rsid w:val="005915A7"/>
    <w:rsid w:val="005A4D5F"/>
    <w:rsid w:val="005B27AA"/>
    <w:rsid w:val="005B3820"/>
    <w:rsid w:val="005B3A10"/>
    <w:rsid w:val="005B3FA9"/>
    <w:rsid w:val="005B4221"/>
    <w:rsid w:val="005B568A"/>
    <w:rsid w:val="005C3813"/>
    <w:rsid w:val="005C4DAD"/>
    <w:rsid w:val="005D6A18"/>
    <w:rsid w:val="005D700F"/>
    <w:rsid w:val="005D7C08"/>
    <w:rsid w:val="005F5089"/>
    <w:rsid w:val="0060405E"/>
    <w:rsid w:val="006069DA"/>
    <w:rsid w:val="006110D0"/>
    <w:rsid w:val="00614264"/>
    <w:rsid w:val="006242F2"/>
    <w:rsid w:val="00630BB5"/>
    <w:rsid w:val="00632955"/>
    <w:rsid w:val="0063539C"/>
    <w:rsid w:val="0064056F"/>
    <w:rsid w:val="00640E01"/>
    <w:rsid w:val="006473D1"/>
    <w:rsid w:val="0065757D"/>
    <w:rsid w:val="006609DE"/>
    <w:rsid w:val="00662F54"/>
    <w:rsid w:val="00663BCF"/>
    <w:rsid w:val="00667104"/>
    <w:rsid w:val="006710DB"/>
    <w:rsid w:val="0067328B"/>
    <w:rsid w:val="00674A9D"/>
    <w:rsid w:val="00682BF9"/>
    <w:rsid w:val="00685FBA"/>
    <w:rsid w:val="00686FF8"/>
    <w:rsid w:val="00691594"/>
    <w:rsid w:val="0069452E"/>
    <w:rsid w:val="00695CB5"/>
    <w:rsid w:val="006A25AC"/>
    <w:rsid w:val="006A3253"/>
    <w:rsid w:val="006B5F09"/>
    <w:rsid w:val="006C3BBC"/>
    <w:rsid w:val="006C612A"/>
    <w:rsid w:val="006C671C"/>
    <w:rsid w:val="006C6E93"/>
    <w:rsid w:val="006D01A2"/>
    <w:rsid w:val="006D11DE"/>
    <w:rsid w:val="006D699F"/>
    <w:rsid w:val="006E3169"/>
    <w:rsid w:val="006E47DB"/>
    <w:rsid w:val="006E48F5"/>
    <w:rsid w:val="006E508D"/>
    <w:rsid w:val="006E6189"/>
    <w:rsid w:val="006F0F58"/>
    <w:rsid w:val="006F24E5"/>
    <w:rsid w:val="006F483C"/>
    <w:rsid w:val="006F6010"/>
    <w:rsid w:val="006F7CA1"/>
    <w:rsid w:val="00710AF5"/>
    <w:rsid w:val="00710BD3"/>
    <w:rsid w:val="00716331"/>
    <w:rsid w:val="00716D9A"/>
    <w:rsid w:val="0072465A"/>
    <w:rsid w:val="00730B22"/>
    <w:rsid w:val="00730F47"/>
    <w:rsid w:val="00731565"/>
    <w:rsid w:val="007346BA"/>
    <w:rsid w:val="00737A2D"/>
    <w:rsid w:val="00741C10"/>
    <w:rsid w:val="0074384D"/>
    <w:rsid w:val="00744E7E"/>
    <w:rsid w:val="00746D2F"/>
    <w:rsid w:val="00747F18"/>
    <w:rsid w:val="007536E4"/>
    <w:rsid w:val="00754B16"/>
    <w:rsid w:val="007605A7"/>
    <w:rsid w:val="00761F1B"/>
    <w:rsid w:val="00762AD5"/>
    <w:rsid w:val="00767223"/>
    <w:rsid w:val="00770793"/>
    <w:rsid w:val="0077132C"/>
    <w:rsid w:val="00771872"/>
    <w:rsid w:val="00774D0E"/>
    <w:rsid w:val="007833C0"/>
    <w:rsid w:val="0078685A"/>
    <w:rsid w:val="00793CD3"/>
    <w:rsid w:val="007A0654"/>
    <w:rsid w:val="007A2ED8"/>
    <w:rsid w:val="007A503D"/>
    <w:rsid w:val="007A7159"/>
    <w:rsid w:val="007A7EF1"/>
    <w:rsid w:val="007B099E"/>
    <w:rsid w:val="007B429D"/>
    <w:rsid w:val="007B6537"/>
    <w:rsid w:val="007C03C2"/>
    <w:rsid w:val="007C24B2"/>
    <w:rsid w:val="007C2F2B"/>
    <w:rsid w:val="007C35AD"/>
    <w:rsid w:val="007C684E"/>
    <w:rsid w:val="007D485D"/>
    <w:rsid w:val="007D51EC"/>
    <w:rsid w:val="007D724B"/>
    <w:rsid w:val="007D7319"/>
    <w:rsid w:val="007D7B3F"/>
    <w:rsid w:val="007D7D96"/>
    <w:rsid w:val="007E0C0A"/>
    <w:rsid w:val="007E16B0"/>
    <w:rsid w:val="007E3D74"/>
    <w:rsid w:val="007E4AA4"/>
    <w:rsid w:val="007E719E"/>
    <w:rsid w:val="007E72DD"/>
    <w:rsid w:val="007F0C25"/>
    <w:rsid w:val="007F454A"/>
    <w:rsid w:val="00801447"/>
    <w:rsid w:val="008041AD"/>
    <w:rsid w:val="00805163"/>
    <w:rsid w:val="00805557"/>
    <w:rsid w:val="00807A8E"/>
    <w:rsid w:val="0081245D"/>
    <w:rsid w:val="0081353D"/>
    <w:rsid w:val="00815521"/>
    <w:rsid w:val="0082149A"/>
    <w:rsid w:val="00821E8E"/>
    <w:rsid w:val="0082498F"/>
    <w:rsid w:val="00824ABF"/>
    <w:rsid w:val="008268F4"/>
    <w:rsid w:val="0083066C"/>
    <w:rsid w:val="008330DC"/>
    <w:rsid w:val="008351FB"/>
    <w:rsid w:val="00842F82"/>
    <w:rsid w:val="00850419"/>
    <w:rsid w:val="00851F00"/>
    <w:rsid w:val="00852C0E"/>
    <w:rsid w:val="00862E30"/>
    <w:rsid w:val="00863CB7"/>
    <w:rsid w:val="008726CE"/>
    <w:rsid w:val="00872A3A"/>
    <w:rsid w:val="00873B16"/>
    <w:rsid w:val="00875031"/>
    <w:rsid w:val="0087648D"/>
    <w:rsid w:val="008846F4"/>
    <w:rsid w:val="008863C6"/>
    <w:rsid w:val="00892504"/>
    <w:rsid w:val="008926B7"/>
    <w:rsid w:val="00896130"/>
    <w:rsid w:val="008969A5"/>
    <w:rsid w:val="00897F83"/>
    <w:rsid w:val="008A578C"/>
    <w:rsid w:val="008B0BBD"/>
    <w:rsid w:val="008B1C1F"/>
    <w:rsid w:val="008C3853"/>
    <w:rsid w:val="008C4C23"/>
    <w:rsid w:val="008C4E2E"/>
    <w:rsid w:val="008C5B55"/>
    <w:rsid w:val="008D3E53"/>
    <w:rsid w:val="008D476E"/>
    <w:rsid w:val="008D60B1"/>
    <w:rsid w:val="008E4871"/>
    <w:rsid w:val="00905786"/>
    <w:rsid w:val="009101C2"/>
    <w:rsid w:val="0091544A"/>
    <w:rsid w:val="00917D09"/>
    <w:rsid w:val="009229D5"/>
    <w:rsid w:val="00923BD9"/>
    <w:rsid w:val="009254BB"/>
    <w:rsid w:val="00927034"/>
    <w:rsid w:val="00931240"/>
    <w:rsid w:val="00931B59"/>
    <w:rsid w:val="00936905"/>
    <w:rsid w:val="0094179C"/>
    <w:rsid w:val="009450C8"/>
    <w:rsid w:val="00946B95"/>
    <w:rsid w:val="009542E5"/>
    <w:rsid w:val="0095548C"/>
    <w:rsid w:val="00956691"/>
    <w:rsid w:val="00956FC3"/>
    <w:rsid w:val="0096168F"/>
    <w:rsid w:val="00972A17"/>
    <w:rsid w:val="0097617E"/>
    <w:rsid w:val="009A202B"/>
    <w:rsid w:val="009A4A8A"/>
    <w:rsid w:val="009A6544"/>
    <w:rsid w:val="009A787E"/>
    <w:rsid w:val="009B09F3"/>
    <w:rsid w:val="009B17CF"/>
    <w:rsid w:val="009C100D"/>
    <w:rsid w:val="009C302A"/>
    <w:rsid w:val="009C41EE"/>
    <w:rsid w:val="009D02C0"/>
    <w:rsid w:val="009D105B"/>
    <w:rsid w:val="009D1E68"/>
    <w:rsid w:val="009D2A39"/>
    <w:rsid w:val="009E04CA"/>
    <w:rsid w:val="009E5F05"/>
    <w:rsid w:val="009F090C"/>
    <w:rsid w:val="009F1778"/>
    <w:rsid w:val="009F1F66"/>
    <w:rsid w:val="00A02573"/>
    <w:rsid w:val="00A0719E"/>
    <w:rsid w:val="00A073CA"/>
    <w:rsid w:val="00A07F25"/>
    <w:rsid w:val="00A228BB"/>
    <w:rsid w:val="00A314F1"/>
    <w:rsid w:val="00A369A4"/>
    <w:rsid w:val="00A36B8C"/>
    <w:rsid w:val="00A417B5"/>
    <w:rsid w:val="00A446BF"/>
    <w:rsid w:val="00A573D0"/>
    <w:rsid w:val="00A60F03"/>
    <w:rsid w:val="00A6323E"/>
    <w:rsid w:val="00A6350B"/>
    <w:rsid w:val="00A66679"/>
    <w:rsid w:val="00A90B18"/>
    <w:rsid w:val="00AA20A1"/>
    <w:rsid w:val="00AA4559"/>
    <w:rsid w:val="00AA6046"/>
    <w:rsid w:val="00AA71E6"/>
    <w:rsid w:val="00AB492A"/>
    <w:rsid w:val="00AB6787"/>
    <w:rsid w:val="00AC0038"/>
    <w:rsid w:val="00AC5694"/>
    <w:rsid w:val="00AC7773"/>
    <w:rsid w:val="00AD2336"/>
    <w:rsid w:val="00AD296A"/>
    <w:rsid w:val="00AD5C77"/>
    <w:rsid w:val="00AD6EE9"/>
    <w:rsid w:val="00AE1E32"/>
    <w:rsid w:val="00AE3594"/>
    <w:rsid w:val="00AF21A0"/>
    <w:rsid w:val="00B15E32"/>
    <w:rsid w:val="00B22589"/>
    <w:rsid w:val="00B3167E"/>
    <w:rsid w:val="00B3193A"/>
    <w:rsid w:val="00B34116"/>
    <w:rsid w:val="00B448FF"/>
    <w:rsid w:val="00B5552D"/>
    <w:rsid w:val="00B56116"/>
    <w:rsid w:val="00B56D93"/>
    <w:rsid w:val="00B601A5"/>
    <w:rsid w:val="00B61766"/>
    <w:rsid w:val="00B65A81"/>
    <w:rsid w:val="00B73EDC"/>
    <w:rsid w:val="00B76A14"/>
    <w:rsid w:val="00B77321"/>
    <w:rsid w:val="00B80BEF"/>
    <w:rsid w:val="00B82C9B"/>
    <w:rsid w:val="00B84B1D"/>
    <w:rsid w:val="00B86A6D"/>
    <w:rsid w:val="00B917AC"/>
    <w:rsid w:val="00B92EE1"/>
    <w:rsid w:val="00B93400"/>
    <w:rsid w:val="00B93F1B"/>
    <w:rsid w:val="00B976B1"/>
    <w:rsid w:val="00BA73BB"/>
    <w:rsid w:val="00BB1A9E"/>
    <w:rsid w:val="00BB3699"/>
    <w:rsid w:val="00BC15A7"/>
    <w:rsid w:val="00BD198C"/>
    <w:rsid w:val="00BD4235"/>
    <w:rsid w:val="00BD611B"/>
    <w:rsid w:val="00BD78A3"/>
    <w:rsid w:val="00BE1B99"/>
    <w:rsid w:val="00BE1BF2"/>
    <w:rsid w:val="00BE2695"/>
    <w:rsid w:val="00BE77E7"/>
    <w:rsid w:val="00BE7AE3"/>
    <w:rsid w:val="00BF3DF8"/>
    <w:rsid w:val="00C01BE1"/>
    <w:rsid w:val="00C0789E"/>
    <w:rsid w:val="00C079D6"/>
    <w:rsid w:val="00C22F30"/>
    <w:rsid w:val="00C2672B"/>
    <w:rsid w:val="00C32788"/>
    <w:rsid w:val="00C35170"/>
    <w:rsid w:val="00C3709C"/>
    <w:rsid w:val="00C44A5B"/>
    <w:rsid w:val="00C50EB2"/>
    <w:rsid w:val="00C5140C"/>
    <w:rsid w:val="00C5571A"/>
    <w:rsid w:val="00C56235"/>
    <w:rsid w:val="00C56FD2"/>
    <w:rsid w:val="00C606D5"/>
    <w:rsid w:val="00C62DD4"/>
    <w:rsid w:val="00C70474"/>
    <w:rsid w:val="00C72532"/>
    <w:rsid w:val="00C81B48"/>
    <w:rsid w:val="00C97529"/>
    <w:rsid w:val="00CA1AFD"/>
    <w:rsid w:val="00CA1D60"/>
    <w:rsid w:val="00CA2708"/>
    <w:rsid w:val="00CA331B"/>
    <w:rsid w:val="00CA698A"/>
    <w:rsid w:val="00CA6A6B"/>
    <w:rsid w:val="00CB187B"/>
    <w:rsid w:val="00CB1FF5"/>
    <w:rsid w:val="00CB29AE"/>
    <w:rsid w:val="00CC5962"/>
    <w:rsid w:val="00CC5E6B"/>
    <w:rsid w:val="00CC698A"/>
    <w:rsid w:val="00CD65FE"/>
    <w:rsid w:val="00CE319D"/>
    <w:rsid w:val="00CE4CF5"/>
    <w:rsid w:val="00CE539A"/>
    <w:rsid w:val="00CF0196"/>
    <w:rsid w:val="00CF47DA"/>
    <w:rsid w:val="00CF5298"/>
    <w:rsid w:val="00D21176"/>
    <w:rsid w:val="00D37F2D"/>
    <w:rsid w:val="00D46D2B"/>
    <w:rsid w:val="00D4759B"/>
    <w:rsid w:val="00D47C50"/>
    <w:rsid w:val="00D543E6"/>
    <w:rsid w:val="00D55622"/>
    <w:rsid w:val="00D60758"/>
    <w:rsid w:val="00D63972"/>
    <w:rsid w:val="00D646C6"/>
    <w:rsid w:val="00D65250"/>
    <w:rsid w:val="00D65DE2"/>
    <w:rsid w:val="00D66278"/>
    <w:rsid w:val="00D67FB8"/>
    <w:rsid w:val="00D716C3"/>
    <w:rsid w:val="00D75FAC"/>
    <w:rsid w:val="00D844D2"/>
    <w:rsid w:val="00D8555D"/>
    <w:rsid w:val="00D8727F"/>
    <w:rsid w:val="00D932D0"/>
    <w:rsid w:val="00D95172"/>
    <w:rsid w:val="00D96837"/>
    <w:rsid w:val="00DA1F81"/>
    <w:rsid w:val="00DA6790"/>
    <w:rsid w:val="00DB18A9"/>
    <w:rsid w:val="00DB4C3E"/>
    <w:rsid w:val="00DC0A57"/>
    <w:rsid w:val="00DC39F1"/>
    <w:rsid w:val="00DD0232"/>
    <w:rsid w:val="00DD1B4F"/>
    <w:rsid w:val="00DD4FEE"/>
    <w:rsid w:val="00DD68BA"/>
    <w:rsid w:val="00DD783E"/>
    <w:rsid w:val="00DE35B6"/>
    <w:rsid w:val="00E034D8"/>
    <w:rsid w:val="00E03BE2"/>
    <w:rsid w:val="00E07C45"/>
    <w:rsid w:val="00E103B9"/>
    <w:rsid w:val="00E167B5"/>
    <w:rsid w:val="00E17402"/>
    <w:rsid w:val="00E2187E"/>
    <w:rsid w:val="00E21E7D"/>
    <w:rsid w:val="00E246C0"/>
    <w:rsid w:val="00E24B8E"/>
    <w:rsid w:val="00E3131B"/>
    <w:rsid w:val="00E33EDA"/>
    <w:rsid w:val="00E45D6E"/>
    <w:rsid w:val="00E47EDB"/>
    <w:rsid w:val="00E504CD"/>
    <w:rsid w:val="00E511D7"/>
    <w:rsid w:val="00E54591"/>
    <w:rsid w:val="00E54808"/>
    <w:rsid w:val="00E62BF3"/>
    <w:rsid w:val="00E6352E"/>
    <w:rsid w:val="00E645CC"/>
    <w:rsid w:val="00E653DC"/>
    <w:rsid w:val="00E66CC3"/>
    <w:rsid w:val="00E70994"/>
    <w:rsid w:val="00E713B6"/>
    <w:rsid w:val="00E71785"/>
    <w:rsid w:val="00E74B6F"/>
    <w:rsid w:val="00E8380E"/>
    <w:rsid w:val="00E8716B"/>
    <w:rsid w:val="00E90E57"/>
    <w:rsid w:val="00EA00CA"/>
    <w:rsid w:val="00EA45DF"/>
    <w:rsid w:val="00EA4B41"/>
    <w:rsid w:val="00EA5AA2"/>
    <w:rsid w:val="00EA6572"/>
    <w:rsid w:val="00EA6824"/>
    <w:rsid w:val="00EB57A1"/>
    <w:rsid w:val="00EC0A72"/>
    <w:rsid w:val="00EC0F71"/>
    <w:rsid w:val="00EC4795"/>
    <w:rsid w:val="00ED2334"/>
    <w:rsid w:val="00ED3C9D"/>
    <w:rsid w:val="00ED42C0"/>
    <w:rsid w:val="00ED6494"/>
    <w:rsid w:val="00EE243F"/>
    <w:rsid w:val="00EE6DCF"/>
    <w:rsid w:val="00EF0ED5"/>
    <w:rsid w:val="00EF1C77"/>
    <w:rsid w:val="00EF2CD7"/>
    <w:rsid w:val="00EF7BF5"/>
    <w:rsid w:val="00F0303D"/>
    <w:rsid w:val="00F06A84"/>
    <w:rsid w:val="00F10B54"/>
    <w:rsid w:val="00F121FD"/>
    <w:rsid w:val="00F16BCD"/>
    <w:rsid w:val="00F23155"/>
    <w:rsid w:val="00F33B0E"/>
    <w:rsid w:val="00F33BCC"/>
    <w:rsid w:val="00F33CC8"/>
    <w:rsid w:val="00F41790"/>
    <w:rsid w:val="00F46C2C"/>
    <w:rsid w:val="00F51AE4"/>
    <w:rsid w:val="00F52F03"/>
    <w:rsid w:val="00F64EC9"/>
    <w:rsid w:val="00F71303"/>
    <w:rsid w:val="00F719F8"/>
    <w:rsid w:val="00F739E6"/>
    <w:rsid w:val="00F74CCE"/>
    <w:rsid w:val="00F75CAD"/>
    <w:rsid w:val="00F8022D"/>
    <w:rsid w:val="00F8282D"/>
    <w:rsid w:val="00F82932"/>
    <w:rsid w:val="00F85D90"/>
    <w:rsid w:val="00F86148"/>
    <w:rsid w:val="00F86C4B"/>
    <w:rsid w:val="00F93E33"/>
    <w:rsid w:val="00F95C1A"/>
    <w:rsid w:val="00F96D18"/>
    <w:rsid w:val="00FA058C"/>
    <w:rsid w:val="00FA0C66"/>
    <w:rsid w:val="00FA136C"/>
    <w:rsid w:val="00FA475A"/>
    <w:rsid w:val="00FA4E68"/>
    <w:rsid w:val="00FA6C6C"/>
    <w:rsid w:val="00FA7437"/>
    <w:rsid w:val="00FB3D71"/>
    <w:rsid w:val="00FB7587"/>
    <w:rsid w:val="00FC09C2"/>
    <w:rsid w:val="00FC60C4"/>
    <w:rsid w:val="00FC7BFC"/>
    <w:rsid w:val="00FD091D"/>
    <w:rsid w:val="00FD4497"/>
    <w:rsid w:val="00FE52C8"/>
    <w:rsid w:val="00FF05FC"/>
    <w:rsid w:val="00FF2AD7"/>
    <w:rsid w:val="00FF6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6CF03"/>
  <w15:docId w15:val="{BD00A381-21CC-4157-9D81-6D4DFAEF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9F1"/>
    <w:pPr>
      <w:widowControl w:val="0"/>
      <w:jc w:val="both"/>
    </w:pPr>
    <w:rPr>
      <w:rFonts w:ascii="Calibri" w:eastAsia="宋体" w:hAnsi="Calibri" w:cs="Times New Roman"/>
    </w:rPr>
  </w:style>
  <w:style w:type="paragraph" w:styleId="1">
    <w:name w:val="heading 1"/>
    <w:basedOn w:val="a"/>
    <w:next w:val="a"/>
    <w:link w:val="1Char"/>
    <w:uiPriority w:val="9"/>
    <w:qFormat/>
    <w:rsid w:val="00DC39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39F1"/>
    <w:rPr>
      <w:rFonts w:ascii="Calibri" w:eastAsia="宋体" w:hAnsi="Calibri" w:cs="Times New Roman"/>
      <w:b/>
      <w:bCs/>
      <w:kern w:val="44"/>
      <w:sz w:val="44"/>
      <w:szCs w:val="44"/>
    </w:rPr>
  </w:style>
  <w:style w:type="paragraph" w:styleId="a3">
    <w:name w:val="footer"/>
    <w:basedOn w:val="a"/>
    <w:link w:val="Char"/>
    <w:uiPriority w:val="99"/>
    <w:unhideWhenUsed/>
    <w:rsid w:val="00DC39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DC39F1"/>
    <w:rPr>
      <w:sz w:val="18"/>
      <w:szCs w:val="18"/>
    </w:rPr>
  </w:style>
  <w:style w:type="paragraph" w:styleId="a4">
    <w:name w:val="List Paragraph"/>
    <w:basedOn w:val="a"/>
    <w:uiPriority w:val="34"/>
    <w:qFormat/>
    <w:rsid w:val="00DC39F1"/>
    <w:pPr>
      <w:ind w:firstLineChars="200" w:firstLine="420"/>
    </w:pPr>
  </w:style>
  <w:style w:type="character" w:styleId="a5">
    <w:name w:val="annotation reference"/>
    <w:basedOn w:val="a0"/>
    <w:uiPriority w:val="99"/>
    <w:semiHidden/>
    <w:unhideWhenUsed/>
    <w:rsid w:val="00F41790"/>
    <w:rPr>
      <w:sz w:val="21"/>
      <w:szCs w:val="21"/>
    </w:rPr>
  </w:style>
  <w:style w:type="paragraph" w:styleId="a6">
    <w:name w:val="annotation text"/>
    <w:basedOn w:val="a"/>
    <w:link w:val="Char0"/>
    <w:uiPriority w:val="99"/>
    <w:semiHidden/>
    <w:unhideWhenUsed/>
    <w:rsid w:val="00F41790"/>
    <w:pPr>
      <w:jc w:val="left"/>
    </w:pPr>
  </w:style>
  <w:style w:type="character" w:customStyle="1" w:styleId="Char0">
    <w:name w:val="批注文字 Char"/>
    <w:basedOn w:val="a0"/>
    <w:link w:val="a6"/>
    <w:uiPriority w:val="99"/>
    <w:semiHidden/>
    <w:rsid w:val="00F41790"/>
    <w:rPr>
      <w:rFonts w:ascii="Calibri" w:eastAsia="宋体" w:hAnsi="Calibri" w:cs="Times New Roman"/>
    </w:rPr>
  </w:style>
  <w:style w:type="paragraph" w:styleId="a7">
    <w:name w:val="annotation subject"/>
    <w:basedOn w:val="a6"/>
    <w:next w:val="a6"/>
    <w:link w:val="Char1"/>
    <w:uiPriority w:val="99"/>
    <w:semiHidden/>
    <w:unhideWhenUsed/>
    <w:rsid w:val="00F41790"/>
    <w:rPr>
      <w:b/>
      <w:bCs/>
    </w:rPr>
  </w:style>
  <w:style w:type="character" w:customStyle="1" w:styleId="Char1">
    <w:name w:val="批注主题 Char"/>
    <w:basedOn w:val="Char0"/>
    <w:link w:val="a7"/>
    <w:uiPriority w:val="99"/>
    <w:semiHidden/>
    <w:rsid w:val="00F41790"/>
    <w:rPr>
      <w:rFonts w:ascii="Calibri" w:eastAsia="宋体" w:hAnsi="Calibri" w:cs="Times New Roman"/>
      <w:b/>
      <w:bCs/>
    </w:rPr>
  </w:style>
  <w:style w:type="paragraph" w:styleId="a8">
    <w:name w:val="Balloon Text"/>
    <w:basedOn w:val="a"/>
    <w:link w:val="Char2"/>
    <w:uiPriority w:val="99"/>
    <w:semiHidden/>
    <w:unhideWhenUsed/>
    <w:rsid w:val="00F41790"/>
    <w:rPr>
      <w:sz w:val="18"/>
      <w:szCs w:val="18"/>
    </w:rPr>
  </w:style>
  <w:style w:type="character" w:customStyle="1" w:styleId="Char2">
    <w:name w:val="批注框文本 Char"/>
    <w:basedOn w:val="a0"/>
    <w:link w:val="a8"/>
    <w:uiPriority w:val="99"/>
    <w:semiHidden/>
    <w:rsid w:val="00F41790"/>
    <w:rPr>
      <w:rFonts w:ascii="Calibri" w:eastAsia="宋体" w:hAnsi="Calibri" w:cs="Times New Roman"/>
      <w:sz w:val="18"/>
      <w:szCs w:val="18"/>
    </w:rPr>
  </w:style>
  <w:style w:type="paragraph" w:styleId="a9">
    <w:name w:val="header"/>
    <w:basedOn w:val="a"/>
    <w:link w:val="Char3"/>
    <w:uiPriority w:val="99"/>
    <w:semiHidden/>
    <w:unhideWhenUsed/>
    <w:rsid w:val="0039286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semiHidden/>
    <w:rsid w:val="0039286E"/>
    <w:rPr>
      <w:rFonts w:ascii="Calibri" w:eastAsia="宋体" w:hAnsi="Calibri" w:cs="Times New Roman"/>
      <w:sz w:val="18"/>
      <w:szCs w:val="18"/>
    </w:rPr>
  </w:style>
  <w:style w:type="paragraph" w:styleId="aa">
    <w:name w:val="Revision"/>
    <w:hidden/>
    <w:uiPriority w:val="99"/>
    <w:semiHidden/>
    <w:rsid w:val="00D46D2B"/>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7</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邹轶君</dc:creator>
  <cp:keywords/>
  <dc:description/>
  <cp:lastModifiedBy>邹轶君</cp:lastModifiedBy>
  <cp:revision>11</cp:revision>
  <dcterms:created xsi:type="dcterms:W3CDTF">2016-08-22T06:47:00Z</dcterms:created>
  <dcterms:modified xsi:type="dcterms:W3CDTF">2016-08-29T05:59:00Z</dcterms:modified>
</cp:coreProperties>
</file>